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Implementation Guide — v1.7.3</w:t>
      </w:r>
    </w:p>
    <w:p>
      <w:pPr>
        <w:pStyle w:val="Heading1"/>
        <w:spacing w:after="100" w:before="200"/>
      </w:pPr>
      <w:r>
        <w:rPr>
          <w:color w:val="0F6E56"/>
        </w:rPr>
        <w:t xml:space="preserve">WILMS Implementation Guide</w:t>
      </w:r>
    </w:p>
    <w:p>
      <w:pPr>
        <w:spacing w:after="120"/>
      </w:pPr>
      <w:r>
        <w:rPr>
          <w:sz w:val="22"/>
          <w:szCs w:val="22"/>
        </w:rPr>
        <w:t xml:space="preserve">Version: 1.7.3 Audience: Deployment teams, programme rollout leads Classification: Confidential</w:t>
      </w:r>
    </w:p>
    <w:p>
      <w:pPr>
        <w:pStyle w:val="Heading2"/>
        <w:spacing w:after="100" w:before="200"/>
      </w:pPr>
      <w:r>
        <w:rPr>
          <w:color w:val="0F6E56"/>
        </w:rPr>
        <w:t xml:space="preserve">1. Implementation overview</w:t>
      </w:r>
    </w:p>
    <w:p>
      <w:pPr>
        <w:spacing w:after="120"/>
      </w:pPr>
      <w:r>
        <w:rPr>
          <w:sz w:val="22"/>
          <w:szCs w:val="22"/>
        </w:rPr>
        <w:t xml:space="preserve">This guide covers deploying WILMS for a new programme instance from infrastructure setup through go-live.</w:t>
      </w:r>
    </w:p>
    <w:p>
      <w:pPr>
        <w:spacing w:after="120"/>
      </w:pPr>
      <w:r>
        <w:rPr>
          <w:sz w:val="22"/>
          <w:szCs w:val="22"/>
        </w:rPr>
        <w:t xml:space="preserve">Estimated timeline: 2–4 weeks depending on data migration needs.</w:t>
      </w:r>
    </w:p>
    <w:p>
      <w:pPr>
        <w:pStyle w:val="Heading2"/>
        <w:spacing w:after="100" w:before="200"/>
      </w:pPr>
      <w:r>
        <w:rPr>
          <w:color w:val="0F6E56"/>
        </w:rPr>
        <w:t xml:space="preserve">2. Phase 1: Infrastructure (Week 1)</w:t>
      </w:r>
    </w:p>
    <w:p>
      <w:pPr>
        <w:pStyle w:val="Heading3"/>
        <w:spacing w:after="100" w:before="200"/>
      </w:pPr>
      <w:r>
        <w:rPr>
          <w:color w:val="0F6E56"/>
        </w:rPr>
        <w:t xml:space="preserve">2.1 Accounts</w:t>
      </w:r>
    </w:p>
    <w:p>
      <w:pPr>
        <w:spacing w:after="120"/>
      </w:pPr>
      <w:r>
        <w:rPr>
          <w:sz w:val="22"/>
          <w:szCs w:val="22"/>
        </w:rPr>
        <w:t xml:space="preserve">| Service | Purpose |</w:t>
      </w:r>
    </w:p>
    <w:p>
      <w:pPr>
        <w:spacing w:after="120"/>
      </w:pPr>
      <w:r>
        <w:rPr>
          <w:sz w:val="22"/>
          <w:szCs w:val="22"/>
        </w:rPr>
        <w:t xml:space="preserve">|---------|---------|</w:t>
      </w:r>
    </w:p>
    <w:p>
      <w:pPr>
        <w:spacing w:after="120"/>
      </w:pPr>
      <w:r>
        <w:rPr>
          <w:sz w:val="22"/>
          <w:szCs w:val="22"/>
        </w:rPr>
        <w:t xml:space="preserve">| Vercel | Application hosting |</w:t>
      </w:r>
    </w:p>
    <w:p>
      <w:pPr>
        <w:spacing w:after="120"/>
      </w:pPr>
      <w:r>
        <w:rPr>
          <w:sz w:val="22"/>
          <w:szCs w:val="22"/>
        </w:rPr>
        <w:t xml:space="preserve">| Neon | PostgreSQL database |</w:t>
      </w:r>
    </w:p>
    <w:p>
      <w:pPr>
        <w:spacing w:after="120"/>
      </w:pPr>
      <w:r>
        <w:rPr>
          <w:sz w:val="22"/>
          <w:szCs w:val="22"/>
        </w:rPr>
        <w:t xml:space="preserve">| Email provider | Transactional email (optional SMS provider) |</w:t>
      </w:r>
    </w:p>
    <w:p>
      <w:pPr>
        <w:pStyle w:val="Heading3"/>
        <w:spacing w:after="100" w:before="200"/>
      </w:pPr>
      <w:r>
        <w:rPr>
          <w:color w:val="0F6E56"/>
        </w:rPr>
        <w:t xml:space="preserve">2.2 Repository setup</w:t>
      </w:r>
    </w:p>
    <w:p>
      <w:pPr>
        <w:spacing w:after="120"/>
      </w:pPr>
      <w:r>
        <w:rPr>
          <w:sz w:val="22"/>
          <w:szCs w:val="22"/>
        </w:rPr>
        <w:t xml:space="preserve">git clone &lt;repository-url&gt; cd WILMS npm ci</w:t>
      </w:r>
    </w:p>
    <w:p>
      <w:pPr>
        <w:pStyle w:val="Heading3"/>
        <w:spacing w:after="100" w:before="200"/>
      </w:pPr>
      <w:r>
        <w:rPr>
          <w:color w:val="0F6E56"/>
        </w:rPr>
        <w:t xml:space="preserve">2.3 Environment variables</w:t>
      </w:r>
    </w:p>
    <w:p>
      <w:pPr>
        <w:spacing w:after="120"/>
      </w:pPr>
      <w:r>
        <w:rPr>
          <w:sz w:val="22"/>
          <w:szCs w:val="22"/>
        </w:rPr>
        <w:t xml:space="preserve">Configure in Vercel dashboard:</w:t>
      </w:r>
    </w:p>
    <w:p>
      <w:pPr>
        <w:spacing w:after="120"/>
      </w:pPr>
      <w:r>
        <w:rPr>
          <w:sz w:val="22"/>
          <w:szCs w:val="22"/>
        </w:rPr>
        <w:t xml:space="preserve">| Variable | Value |</w:t>
      </w:r>
    </w:p>
    <w:p>
      <w:pPr>
        <w:spacing w:after="120"/>
      </w:pPr>
      <w:r>
        <w:rPr>
          <w:sz w:val="22"/>
          <w:szCs w:val="22"/>
        </w:rPr>
        <w:t xml:space="preserve">|----------|-------|</w:t>
      </w:r>
    </w:p>
    <w:p>
      <w:pPr>
        <w:spacing w:after="120"/>
      </w:pPr>
      <w:r>
        <w:rPr>
          <w:sz w:val="22"/>
          <w:szCs w:val="22"/>
        </w:rPr>
        <w:t xml:space="preserve">| DATABASE_URL | Neon connection string |</w:t>
      </w:r>
    </w:p>
    <w:p>
      <w:pPr>
        <w:spacing w:after="120"/>
      </w:pPr>
      <w:r>
        <w:rPr>
          <w:sz w:val="22"/>
          <w:szCs w:val="22"/>
        </w:rPr>
        <w:t xml:space="preserve">| WILMS_SESSION_SECRET | 32+ character random string |</w:t>
      </w:r>
    </w:p>
    <w:p>
      <w:pPr>
        <w:spacing w:after="120"/>
      </w:pPr>
      <w:r>
        <w:rPr>
          <w:sz w:val="22"/>
          <w:szCs w:val="22"/>
        </w:rPr>
        <w:t xml:space="preserve">| NEXT_PUBLIC_API_BASE_URL | /api/wilms |</w:t>
      </w:r>
    </w:p>
    <w:p>
      <w:pPr>
        <w:spacing w:after="120"/>
      </w:pPr>
      <w:r>
        <w:rPr>
          <w:sz w:val="22"/>
          <w:szCs w:val="22"/>
        </w:rPr>
        <w:t xml:space="preserve">| NEXT_PUBLIC_USE_MOCK | false |</w:t>
      </w:r>
    </w:p>
    <w:p>
      <w:pPr>
        <w:spacing w:after="120"/>
      </w:pPr>
      <w:r>
        <w:rPr>
          <w:sz w:val="22"/>
          <w:szCs w:val="22"/>
        </w:rPr>
        <w:t xml:space="preserve">Optional: REDIS_URL for rate limiting.</w:t>
      </w:r>
    </w:p>
    <w:p>
      <w:pPr>
        <w:pStyle w:val="Heading3"/>
        <w:spacing w:after="100" w:before="200"/>
      </w:pPr>
      <w:r>
        <w:rPr>
          <w:color w:val="0F6E56"/>
        </w:rPr>
        <w:t xml:space="preserve">2.4 Database migration</w:t>
      </w:r>
    </w:p>
    <w:p>
      <w:pPr>
        <w:spacing w:after="120"/>
      </w:pPr>
      <w:r>
        <w:rPr>
          <w:sz w:val="22"/>
          <w:szCs w:val="22"/>
        </w:rPr>
        <w:t xml:space="preserve">npm run db:migrate -w @wilms/domain npm run verify:migrations -w @wilms/api</w:t>
      </w:r>
    </w:p>
    <w:p>
      <w:pPr>
        <w:pStyle w:val="Heading3"/>
        <w:spacing w:after="100" w:before="200"/>
      </w:pPr>
      <w:r>
        <w:rPr>
          <w:color w:val="0F6E56"/>
        </w:rPr>
        <w:t xml:space="preserve">2.5 Deploy</w:t>
      </w:r>
    </w:p>
    <w:p>
      <w:pPr>
        <w:spacing w:after="120"/>
      </w:pPr>
      <w:r>
        <w:rPr>
          <w:sz w:val="22"/>
          <w:szCs w:val="22"/>
        </w:rPr>
        <w:t xml:space="preserve">Push to production branch. Vercel auto-deploys.</w:t>
      </w:r>
    </w:p>
    <w:p>
      <w:pPr>
        <w:spacing w:after="120"/>
      </w:pPr>
      <w:r>
        <w:rPr>
          <w:sz w:val="22"/>
          <w:szCs w:val="22"/>
        </w:rPr>
        <w:t xml:space="preserve">Verify: GET /api/wilms/health</w:t>
      </w:r>
    </w:p>
    <w:p>
      <w:pPr>
        <w:pStyle w:val="Heading2"/>
        <w:spacing w:after="100" w:before="200"/>
      </w:pPr>
      <w:r>
        <w:rPr>
          <w:color w:val="0F6E56"/>
        </w:rPr>
        <w:t xml:space="preserve">3. Phase 2: Organisation setup (Week 1–2)</w:t>
      </w:r>
    </w:p>
    <w:p>
      <w:pPr>
        <w:pStyle w:val="Heading3"/>
        <w:spacing w:after="100" w:before="200"/>
      </w:pPr>
      <w:r>
        <w:rPr>
          <w:color w:val="0F6E56"/>
        </w:rPr>
        <w:t xml:space="preserve">3.1 Super Admin account</w:t>
      </w:r>
    </w:p>
    <w:p>
      <w:pPr>
        <w:spacing w:after="120"/>
      </w:pPr>
      <w:r>
        <w:rPr>
          <w:sz w:val="22"/>
          <w:szCs w:val="22"/>
        </w:rPr>
        <w:t xml:space="preserve">Create initial admin via seed script or first-user bootstrap. Change default password immediately.</w:t>
      </w:r>
    </w:p>
    <w:p>
      <w:pPr>
        <w:pStyle w:val="Heading3"/>
        <w:spacing w:after="100" w:before="200"/>
      </w:pPr>
      <w:r>
        <w:rPr>
          <w:color w:val="0F6E56"/>
        </w:rPr>
        <w:t xml:space="preserve">3.2 Organisation settings</w:t>
      </w:r>
    </w:p>
    <w:p>
      <w:pPr>
        <w:spacing w:after="120"/>
      </w:pPr>
      <w:r>
        <w:rPr>
          <w:sz w:val="22"/>
          <w:szCs w:val="22"/>
        </w:rPr>
        <w:t xml:space="preserve">Configure: organisation name, notification preferences, quiet hours, holiday calendar.</w:t>
      </w:r>
    </w:p>
    <w:p>
      <w:pPr>
        <w:pStyle w:val="Heading3"/>
        <w:spacing w:after="100" w:before="200"/>
      </w:pPr>
      <w:r>
        <w:rPr>
          <w:color w:val="0F6E56"/>
        </w:rPr>
        <w:t xml:space="preserve">3.3 Loan pools</w:t>
      </w:r>
    </w:p>
    <w:p>
      <w:pPr>
        <w:spacing w:after="120"/>
      </w:pPr>
      <w:r>
        <w:rPr>
          <w:sz w:val="22"/>
          <w:szCs w:val="22"/>
        </w:rPr>
        <w:t xml:space="preserve">Create capital pools with initial replenishment matching programme funding.</w:t>
      </w:r>
    </w:p>
    <w:p>
      <w:pPr>
        <w:pStyle w:val="Heading3"/>
        <w:spacing w:after="100" w:before="200"/>
      </w:pPr>
      <w:r>
        <w:rPr>
          <w:color w:val="0F6E56"/>
        </w:rPr>
        <w:t xml:space="preserve">3.4 Location hierarchy</w:t>
      </w:r>
    </w:p>
    <w:p>
      <w:pPr>
        <w:spacing w:after="120"/>
      </w:pPr>
      <w:r>
        <w:rPr>
          <w:sz w:val="22"/>
          <w:szCs w:val="22"/>
        </w:rPr>
        <w:t xml:space="preserve">Seed Ghana locations: npm run seed:ghana-locations -w @wilms/api</w:t>
      </w:r>
    </w:p>
    <w:p>
      <w:pPr>
        <w:pStyle w:val="Heading2"/>
        <w:spacing w:after="100" w:before="200"/>
      </w:pPr>
      <w:r>
        <w:rPr>
          <w:color w:val="0F6E56"/>
        </w:rPr>
        <w:t xml:space="preserve">4. Phase 3: User provisioning (Week 2)</w:t>
      </w:r>
    </w:p>
    <w:p>
      <w:pPr>
        <w:pStyle w:val="Heading3"/>
        <w:spacing w:after="100" w:before="200"/>
      </w:pPr>
      <w:r>
        <w:rPr>
          <w:color w:val="0F6E56"/>
        </w:rPr>
        <w:t xml:space="preserve">4.1 Role planning</w:t>
      </w:r>
    </w:p>
    <w:p>
      <w:pPr>
        <w:spacing w:after="120"/>
      </w:pPr>
      <w:r>
        <w:rPr>
          <w:sz w:val="22"/>
          <w:szCs w:val="22"/>
        </w:rPr>
        <w:t xml:space="preserve">| Role | Typical count | Notes |</w:t>
      </w:r>
    </w:p>
    <w:p>
      <w:pPr>
        <w:spacing w:after="120"/>
      </w:pPr>
      <w:r>
        <w:rPr>
          <w:sz w:val="22"/>
          <w:szCs w:val="22"/>
        </w:rPr>
        <w:t xml:space="preserve">|------|---------------|-------|</w:t>
      </w:r>
    </w:p>
    <w:p>
      <w:pPr>
        <w:spacing w:after="120"/>
      </w:pPr>
      <w:r>
        <w:rPr>
          <w:sz w:val="22"/>
          <w:szCs w:val="22"/>
        </w:rPr>
        <w:t xml:space="preserve">| Super Admin | 1–2 | Programme administrators |</w:t>
      </w:r>
    </w:p>
    <w:p>
      <w:pPr>
        <w:spacing w:after="120"/>
      </w:pPr>
      <w:r>
        <w:rPr>
          <w:sz w:val="22"/>
          <w:szCs w:val="22"/>
        </w:rPr>
        <w:t xml:space="preserve">| Registration Officer | 2–5 | HQ registration staff |</w:t>
      </w:r>
    </w:p>
    <w:p>
      <w:pPr>
        <w:spacing w:after="120"/>
      </w:pPr>
      <w:r>
        <w:rPr>
          <w:sz w:val="22"/>
          <w:szCs w:val="22"/>
        </w:rPr>
        <w:t xml:space="preserve">| Collector | 10–50 | Field agents |</w:t>
      </w:r>
    </w:p>
    <w:p>
      <w:pPr>
        <w:spacing w:after="120"/>
      </w:pPr>
      <w:r>
        <w:rPr>
          <w:sz w:val="22"/>
          <w:szCs w:val="22"/>
        </w:rPr>
        <w:t xml:space="preserve">| Approver | 2–3 | Loan decision authority |</w:t>
      </w:r>
    </w:p>
    <w:p>
      <w:pPr>
        <w:spacing w:after="120"/>
      </w:pPr>
      <w:r>
        <w:rPr>
          <w:sz w:val="22"/>
          <w:szCs w:val="22"/>
        </w:rPr>
        <w:t xml:space="preserve">| Auditor | 1–2 | Read-only oversight |</w:t>
      </w:r>
    </w:p>
    <w:p>
      <w:pPr>
        <w:pStyle w:val="Heading3"/>
        <w:spacing w:after="100" w:before="200"/>
      </w:pPr>
      <w:r>
        <w:rPr>
          <w:color w:val="0F6E56"/>
        </w:rPr>
        <w:t xml:space="preserve">4.2 Invite users</w:t>
      </w:r>
    </w:p>
    <w:p>
      <w:pPr>
        <w:spacing w:after="120"/>
      </w:pPr>
      <w:r>
        <w:rPr>
          <w:sz w:val="22"/>
          <w:szCs w:val="22"/>
        </w:rPr>
        <w:t xml:space="preserve">Settings → Users → Invite. Assign appropriate roles. Users complete first-login onboarding.</w:t>
      </w:r>
    </w:p>
    <w:p>
      <w:pPr>
        <w:pStyle w:val="Heading3"/>
        <w:spacing w:after="100" w:before="200"/>
      </w:pPr>
      <w:r>
        <w:rPr>
          <w:color w:val="0F6E56"/>
        </w:rPr>
        <w:t xml:space="preserve">4.3 Permission overrides</w:t>
      </w:r>
    </w:p>
    <w:p>
      <w:pPr>
        <w:spacing w:after="120"/>
      </w:pPr>
      <w:r>
        <w:rPr>
          <w:sz w:val="22"/>
          <w:szCs w:val="22"/>
        </w:rPr>
        <w:t xml:space="preserve">Grant only when role defaults insufficient. Document all overrides.</w:t>
      </w:r>
    </w:p>
    <w:p>
      <w:pPr>
        <w:pStyle w:val="Heading2"/>
        <w:spacing w:after="100" w:before="200"/>
      </w:pPr>
      <w:r>
        <w:rPr>
          <w:color w:val="0F6E56"/>
        </w:rPr>
        <w:t xml:space="preserve">5. Phase 4: Group and collector setup (Week 2)</w:t>
      </w:r>
    </w:p>
    <w:p>
      <w:pPr>
        <w:spacing w:after="120"/>
      </w:pPr>
      <w:r>
        <w:rPr>
          <w:sz w:val="22"/>
          <w:szCs w:val="22"/>
        </w:rPr>
        <w:t xml:space="preserve">1. Create borrower groups aligned with community structure 2. Assign collectors to groups 3. Verify collector field shell access on mobile devices 4. Test offline payment queue</w:t>
      </w:r>
    </w:p>
    <w:p>
      <w:pPr>
        <w:pStyle w:val="Heading2"/>
        <w:spacing w:after="100" w:before="200"/>
      </w:pPr>
      <w:r>
        <w:rPr>
          <w:color w:val="0F6E56"/>
        </w:rPr>
        <w:t xml:space="preserve">6. Phase 5: Pilot (Week 3)</w:t>
      </w:r>
    </w:p>
    <w:p>
      <w:pPr>
        <w:pStyle w:val="Heading3"/>
        <w:spacing w:after="100" w:before="200"/>
      </w:pPr>
      <w:r>
        <w:rPr>
          <w:color w:val="0F6E56"/>
        </w:rPr>
        <w:t xml:space="preserve">6.1 Pilot scope</w:t>
      </w:r>
    </w:p>
    <w:p>
      <w:pPr>
        <w:spacing w:after="120"/>
      </w:pPr>
      <w:r>
        <w:rPr>
          <w:sz w:val="22"/>
          <w:szCs w:val="22"/>
        </w:rPr>
        <w:t xml:space="preserve">• 1–2 groups</w:t>
      </w:r>
    </w:p>
    <w:p>
      <w:pPr>
        <w:spacing w:after="120"/>
      </w:pPr>
      <w:r>
        <w:rPr>
          <w:sz w:val="22"/>
          <w:szCs w:val="22"/>
        </w:rPr>
        <w:t xml:space="preserve">• 10–20 borrowers</w:t>
      </w:r>
    </w:p>
    <w:p>
      <w:pPr>
        <w:spacing w:after="120"/>
      </w:pPr>
      <w:r>
        <w:rPr>
          <w:sz w:val="22"/>
          <w:szCs w:val="22"/>
        </w:rPr>
        <w:t xml:space="preserve">• 1 collector</w:t>
      </w:r>
    </w:p>
    <w:p>
      <w:pPr>
        <w:spacing w:after="120"/>
      </w:pPr>
      <w:r>
        <w:rPr>
          <w:sz w:val="22"/>
          <w:szCs w:val="22"/>
        </w:rPr>
        <w:t xml:space="preserve">• Full lifecycle: register → approve → disburse → collect → reconcile</w:t>
      </w:r>
    </w:p>
    <w:p>
      <w:pPr>
        <w:pStyle w:val="Heading3"/>
        <w:spacing w:after="100" w:before="200"/>
      </w:pPr>
      <w:r>
        <w:rPr>
          <w:color w:val="0F6E56"/>
        </w:rPr>
        <w:t xml:space="preserve">6.2 Validation checklist</w:t>
      </w:r>
    </w:p>
    <w:p>
      <w:pPr>
        <w:spacing w:after="120"/>
      </w:pPr>
      <w:r>
        <w:rPr>
          <w:sz w:val="22"/>
          <w:szCs w:val="22"/>
        </w:rPr>
        <w:t xml:space="preserve">• [ ] Borrower registration with documents and GPS</w:t>
      </w:r>
    </w:p>
    <w:p>
      <w:pPr>
        <w:spacing w:after="120"/>
      </w:pPr>
      <w:r>
        <w:rPr>
          <w:sz w:val="22"/>
          <w:szCs w:val="22"/>
        </w:rPr>
        <w:t xml:space="preserve">• [ ] Loan approval workflow</w:t>
      </w:r>
    </w:p>
    <w:p>
      <w:pPr>
        <w:spacing w:after="120"/>
      </w:pPr>
      <w:r>
        <w:rPr>
          <w:sz w:val="22"/>
          <w:szCs w:val="22"/>
        </w:rPr>
        <w:t xml:space="preserve">• [ ] Admin fee collection</w:t>
      </w:r>
    </w:p>
    <w:p>
      <w:pPr>
        <w:spacing w:after="120"/>
      </w:pPr>
      <w:r>
        <w:rPr>
          <w:sz w:val="22"/>
          <w:szCs w:val="22"/>
        </w:rPr>
        <w:t xml:space="preserve">• [ ] Disbursement with pool hard-stop test</w:t>
      </w:r>
    </w:p>
    <w:p>
      <w:pPr>
        <w:spacing w:after="120"/>
      </w:pPr>
      <w:r>
        <w:rPr>
          <w:sz w:val="22"/>
          <w:szCs w:val="22"/>
        </w:rPr>
        <w:t xml:space="preserve">• [ ] Weekly collection (online and offline)</w:t>
      </w:r>
    </w:p>
    <w:p>
      <w:pPr>
        <w:spacing w:after="120"/>
      </w:pPr>
      <w:r>
        <w:rPr>
          <w:sz w:val="22"/>
          <w:szCs w:val="22"/>
        </w:rPr>
        <w:t xml:space="preserve">• [ ] Daily reconciliation</w:t>
      </w:r>
    </w:p>
    <w:p>
      <w:pPr>
        <w:spacing w:after="120"/>
      </w:pPr>
      <w:r>
        <w:rPr>
          <w:sz w:val="22"/>
          <w:szCs w:val="22"/>
        </w:rPr>
        <w:t xml:space="preserve">• [ ] Expense submit and review</w:t>
      </w:r>
    </w:p>
    <w:p>
      <w:pPr>
        <w:spacing w:after="120"/>
      </w:pPr>
      <w:r>
        <w:rPr>
          <w:sz w:val="22"/>
          <w:szCs w:val="22"/>
        </w:rPr>
        <w:t xml:space="preserve">• [ ] Report generation and export</w:t>
      </w:r>
    </w:p>
    <w:p>
      <w:pPr>
        <w:spacing w:after="120"/>
      </w:pPr>
      <w:r>
        <w:rPr>
          <w:sz w:val="22"/>
          <w:szCs w:val="22"/>
        </w:rPr>
        <w:t xml:space="preserve">• [ ] Notification delivery</w:t>
      </w:r>
    </w:p>
    <w:p>
      <w:pPr>
        <w:spacing w:after="120"/>
      </w:pPr>
      <w:r>
        <w:rPr>
          <w:sz w:val="22"/>
          <w:szCs w:val="22"/>
        </w:rPr>
        <w:t xml:space="preserve">• [ ] Audit log completeness</w:t>
      </w:r>
    </w:p>
    <w:p>
      <w:pPr>
        <w:pStyle w:val="Heading2"/>
        <w:spacing w:after="100" w:before="200"/>
      </w:pPr>
      <w:r>
        <w:rPr>
          <w:color w:val="0F6E56"/>
        </w:rPr>
        <w:t xml:space="preserve">7. Phase 6: Go-live (Week 4)</w:t>
      </w:r>
    </w:p>
    <w:p>
      <w:pPr>
        <w:pStyle w:val="Heading3"/>
        <w:spacing w:after="100" w:before="200"/>
      </w:pPr>
      <w:r>
        <w:rPr>
          <w:color w:val="0F6E56"/>
        </w:rPr>
        <w:t xml:space="preserve">7.1 Data migration (if applicable)</w:t>
      </w:r>
    </w:p>
    <w:p>
      <w:pPr>
        <w:spacing w:after="120"/>
      </w:pPr>
      <w:r>
        <w:rPr>
          <w:sz w:val="22"/>
          <w:szCs w:val="22"/>
        </w:rPr>
        <w:t xml:space="preserve">Import existing borrower/loan data via admin tools or custom migration script. Validate against source records.</w:t>
      </w:r>
    </w:p>
    <w:p>
      <w:pPr>
        <w:pStyle w:val="Heading3"/>
        <w:spacing w:after="100" w:before="200"/>
      </w:pPr>
      <w:r>
        <w:rPr>
          <w:color w:val="0F6E56"/>
        </w:rPr>
        <w:t xml:space="preserve">7.2 Training</w:t>
      </w:r>
    </w:p>
    <w:p>
      <w:pPr>
        <w:spacing w:after="120"/>
      </w:pPr>
      <w:r>
        <w:rPr>
          <w:sz w:val="22"/>
          <w:szCs w:val="22"/>
        </w:rPr>
        <w:t xml:space="preserve">Distribute role manuals from documentation/user-guides/. Conduct hands-on sessions per role.</w:t>
      </w:r>
    </w:p>
    <w:p>
      <w:pPr>
        <w:pStyle w:val="Heading3"/>
        <w:spacing w:after="100" w:before="200"/>
      </w:pPr>
      <w:r>
        <w:rPr>
          <w:color w:val="0F6E56"/>
        </w:rPr>
        <w:t xml:space="preserve">7.3 Go-live checklist</w:t>
      </w:r>
    </w:p>
    <w:p>
      <w:pPr>
        <w:spacing w:after="120"/>
      </w:pPr>
      <w:r>
        <w:rPr>
          <w:sz w:val="22"/>
          <w:szCs w:val="22"/>
        </w:rPr>
        <w:t xml:space="preserve">• [ ] All users invited and active</w:t>
      </w:r>
    </w:p>
    <w:p>
      <w:pPr>
        <w:spacing w:after="120"/>
      </w:pPr>
      <w:r>
        <w:rPr>
          <w:sz w:val="22"/>
          <w:szCs w:val="22"/>
        </w:rPr>
        <w:t xml:space="preserve">• [ ] Pools funded with correct capital</w:t>
      </w:r>
    </w:p>
    <w:p>
      <w:pPr>
        <w:spacing w:after="120"/>
      </w:pPr>
      <w:r>
        <w:rPr>
          <w:sz w:val="22"/>
          <w:szCs w:val="22"/>
        </w:rPr>
        <w:t xml:space="preserve">• [ ] Groups and collectors assigned</w:t>
      </w:r>
    </w:p>
    <w:p>
      <w:pPr>
        <w:spacing w:after="120"/>
      </w:pPr>
      <w:r>
        <w:rPr>
          <w:sz w:val="22"/>
          <w:szCs w:val="22"/>
        </w:rPr>
        <w:t xml:space="preserve">• [ ] Pilot validation passed</w:t>
      </w:r>
    </w:p>
    <w:p>
      <w:pPr>
        <w:spacing w:after="120"/>
      </w:pPr>
      <w:r>
        <w:rPr>
          <w:sz w:val="22"/>
          <w:szCs w:val="22"/>
        </w:rPr>
        <w:t xml:space="preserve">• [ ] Smoke tests pass: npm run smoke:production</w:t>
      </w:r>
    </w:p>
    <w:p>
      <w:pPr>
        <w:spacing w:after="120"/>
      </w:pPr>
      <w:r>
        <w:rPr>
          <w:sz w:val="22"/>
          <w:szCs w:val="22"/>
        </w:rPr>
        <w:t xml:space="preserve">• [ ] Ops incident process communicated</w:t>
      </w:r>
    </w:p>
    <w:p>
      <w:pPr>
        <w:spacing w:after="120"/>
      </w:pPr>
      <w:r>
        <w:rPr>
          <w:sz w:val="22"/>
          <w:szCs w:val="22"/>
        </w:rPr>
        <w:t xml:space="preserve">• [ ] Backup/recovery verified</w:t>
      </w:r>
    </w:p>
    <w:p>
      <w:pPr>
        <w:pStyle w:val="Heading2"/>
        <w:spacing w:after="100" w:before="200"/>
      </w:pPr>
      <w:r>
        <w:rPr>
          <w:color w:val="0F6E56"/>
        </w:rPr>
        <w:t xml:space="preserve">8. Post go-live</w:t>
      </w:r>
    </w:p>
    <w:p>
      <w:pPr>
        <w:spacing w:after="120"/>
      </w:pPr>
      <w:r>
        <w:rPr>
          <w:sz w:val="22"/>
          <w:szCs w:val="22"/>
        </w:rPr>
        <w:t xml:space="preserve">| Task | Frequency |</w:t>
      </w:r>
    </w:p>
    <w:p>
      <w:pPr>
        <w:spacing w:after="120"/>
      </w:pPr>
      <w:r>
        <w:rPr>
          <w:sz w:val="22"/>
          <w:szCs w:val="22"/>
        </w:rPr>
        <w:t xml:space="preserve">|------|-----------|</w:t>
      </w:r>
    </w:p>
    <w:p>
      <w:pPr>
        <w:spacing w:after="120"/>
      </w:pPr>
      <w:r>
        <w:rPr>
          <w:sz w:val="22"/>
          <w:szCs w:val="22"/>
        </w:rPr>
        <w:t xml:space="preserve">| Monitor health endpoint | Daily |</w:t>
      </w:r>
    </w:p>
    <w:p>
      <w:pPr>
        <w:spacing w:after="120"/>
      </w:pPr>
      <w:r>
        <w:rPr>
          <w:sz w:val="22"/>
          <w:szCs w:val="22"/>
        </w:rPr>
        <w:t xml:space="preserve">| Review reconciliation aging | Daily |</w:t>
      </w:r>
    </w:p>
    <w:p>
      <w:pPr>
        <w:spacing w:after="120"/>
      </w:pPr>
      <w:r>
        <w:rPr>
          <w:sz w:val="22"/>
          <w:szCs w:val="22"/>
        </w:rPr>
        <w:t xml:space="preserve">| Run smoke tests post-deploy | Per deploy |</w:t>
      </w:r>
    </w:p>
    <w:p>
      <w:pPr>
        <w:spacing w:after="120"/>
      </w:pPr>
      <w:r>
        <w:rPr>
          <w:sz w:val="22"/>
          <w:szCs w:val="22"/>
        </w:rPr>
        <w:t xml:space="preserve">| Export compliance pack | Monthly |</w:t>
      </w:r>
    </w:p>
    <w:p>
      <w:pPr>
        <w:spacing w:after="120"/>
      </w:pPr>
      <w:r>
        <w:rPr>
          <w:sz w:val="22"/>
          <w:szCs w:val="22"/>
        </w:rPr>
        <w:t xml:space="preserve">| Review audit log | Weekly |</w:t>
      </w:r>
    </w:p>
    <w:p>
      <w:pPr>
        <w:spacing w:after="120"/>
      </w:pPr>
      <w:r>
        <w:rPr>
          <w:sz w:val="22"/>
          <w:szCs w:val="22"/>
        </w:rPr>
        <w:t xml:space="preserve">| Update documentation | Per release |</w:t>
      </w:r>
    </w:p>
    <w:p>
      <w:pPr>
        <w:pStyle w:val="Heading2"/>
        <w:spacing w:after="100" w:before="200"/>
      </w:pPr>
      <w:r>
        <w:rPr>
          <w:color w:val="0F6E56"/>
        </w:rPr>
        <w:t xml:space="preserve">9. Rollback plan</w:t>
      </w:r>
    </w:p>
    <w:p>
      <w:pPr>
        <w:spacing w:after="120"/>
      </w:pPr>
      <w:r>
        <w:rPr>
          <w:sz w:val="22"/>
          <w:szCs w:val="22"/>
        </w:rPr>
        <w:t xml:space="preserve">1. Revert Vercel deployment to previous build 2. Database is forward-only — plan migrations carefully 3. Document incident in ops module 4. Communicate to users via maintenance window banner</w:t>
      </w:r>
    </w:p>
    <w:p>
      <w:pPr>
        <w:spacing w:after="120"/>
      </w:pPr>
      <w:r>
        <w:rPr>
          <w:sz w:val="22"/>
          <w:szCs w:val="22"/>
        </w:rPr>
        <w:t xml:space="preserve">CONFIDENTIAL — For authorized WILMS personnel, executive review, procurement, and official record keeping only.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Guide v1.7.3</dc:title>
  <dc:creator>WILMS</dc:creator>
  <dc:description>Official WILMS documentation</dc:description>
  <cp:lastModifiedBy>Un-named</cp:lastModifiedBy>
  <cp:revision>1</cp:revision>
  <dcterms:created xsi:type="dcterms:W3CDTF">2026-08-07T18:07:38.966Z</dcterms:created>
  <dcterms:modified xsi:type="dcterms:W3CDTF">2026-08-07T18:07:38.966Z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