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Business Requirements Book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Business Requirements Book</w:t>
      </w:r>
    </w:p>
    <w:p>
      <w:pPr>
        <w:spacing w:after="120"/>
      </w:pPr>
      <w:r>
        <w:rPr>
          <w:sz w:val="22"/>
          <w:szCs w:val="22"/>
        </w:rPr>
        <w:t xml:space="preserve">Version: 1.7.3 Classification: Confidential Status legend: Complete | Partial | Planned | Deferred | Rejected</w:t>
      </w:r>
    </w:p>
    <w:p>
      <w:pPr>
        <w:pStyle w:val="Heading2"/>
        <w:spacing w:after="100" w:before="200"/>
      </w:pPr>
      <w:r>
        <w:rPr>
          <w:color w:val="0F6E56"/>
        </w:rPr>
        <w:t xml:space="preserve">1. Programme scope</w:t>
      </w:r>
    </w:p>
    <w:p>
      <w:pPr>
        <w:spacing w:after="120"/>
      </w:pPr>
      <w:r>
        <w:rPr>
          <w:sz w:val="22"/>
          <w:szCs w:val="22"/>
        </w:rPr>
        <w:t xml:space="preserve">WILMS manages women's interest-free group lending programmes. Requirements trace from business need through implementation status as of platform release v1.7.2.</w:t>
      </w:r>
    </w:p>
    <w:p>
      <w:pPr>
        <w:pStyle w:val="Heading2"/>
        <w:spacing w:after="100" w:before="200"/>
      </w:pPr>
      <w:r>
        <w:rPr>
          <w:color w:val="0F6E56"/>
        </w:rPr>
        <w:t xml:space="preserve">2. Borrower management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BR-001 | Register new borrowers with personal details | Complete | Registration officer portal |</w:t>
      </w:r>
    </w:p>
    <w:p>
      <w:pPr>
        <w:spacing w:after="120"/>
      </w:pPr>
      <w:r>
        <w:rPr>
          <w:sz w:val="22"/>
          <w:szCs w:val="22"/>
        </w:rPr>
        <w:t xml:space="preserve">| BR-002 | Capture identity documents and photos | Complete | Upload module with allowlist |</w:t>
      </w:r>
    </w:p>
    <w:p>
      <w:pPr>
        <w:spacing w:after="120"/>
      </w:pPr>
      <w:r>
        <w:rPr>
          <w:sz w:val="22"/>
          <w:szCs w:val="22"/>
        </w:rPr>
        <w:t xml:space="preserve">| BR-003 | Capture signature and thumbprint modes | Complete | Registration workflow |</w:t>
      </w:r>
    </w:p>
    <w:p>
      <w:pPr>
        <w:spacing w:after="120"/>
      </w:pPr>
      <w:r>
        <w:rPr>
          <w:sz w:val="22"/>
          <w:szCs w:val="22"/>
        </w:rPr>
        <w:t xml:space="preserve">| BR-004 | GPS verification on registration | Complete | Location module |</w:t>
      </w:r>
    </w:p>
    <w:p>
      <w:pPr>
        <w:spacing w:after="120"/>
      </w:pPr>
      <w:r>
        <w:rPr>
          <w:sz w:val="22"/>
          <w:szCs w:val="22"/>
        </w:rPr>
        <w:t xml:space="preserve">| BR-005 | Pending registration queue and edit | Complete | Officer can edit pending |</w:t>
      </w:r>
    </w:p>
    <w:p>
      <w:pPr>
        <w:spacing w:after="120"/>
      </w:pPr>
      <w:r>
        <w:rPr>
          <w:sz w:val="22"/>
          <w:szCs w:val="22"/>
        </w:rPr>
        <w:t xml:space="preserve">| BR-006 | Borrower profile with full history | Complete | Profile page with tabs |</w:t>
      </w:r>
    </w:p>
    <w:p>
      <w:pPr>
        <w:spacing w:after="120"/>
      </w:pPr>
      <w:r>
        <w:rPr>
          <w:sz w:val="22"/>
          <w:szCs w:val="22"/>
        </w:rPr>
        <w:t xml:space="preserve">| BR-007 | Borrower self-service portal | Deferred | HQ-operated model; v2.5 planned |</w:t>
      </w:r>
    </w:p>
    <w:p>
      <w:pPr>
        <w:spacing w:after="120"/>
      </w:pPr>
      <w:r>
        <w:rPr>
          <w:sz w:val="22"/>
          <w:szCs w:val="22"/>
        </w:rPr>
        <w:t xml:space="preserve">| BR-008 | Bulk borrower import | Planned | v1.9 automation |</w:t>
      </w:r>
    </w:p>
    <w:p>
      <w:pPr>
        <w:pStyle w:val="Heading2"/>
        <w:spacing w:after="100" w:before="200"/>
      </w:pPr>
      <w:r>
        <w:rPr>
          <w:color w:val="0F6E56"/>
        </w:rPr>
        <w:t xml:space="preserve">3. Loan lifecycle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BR-010 | Loan application submission | Complete | Officer/collector initiated |</w:t>
      </w:r>
    </w:p>
    <w:p>
      <w:pPr>
        <w:spacing w:after="120"/>
      </w:pPr>
      <w:r>
        <w:rPr>
          <w:sz w:val="22"/>
          <w:szCs w:val="22"/>
        </w:rPr>
        <w:t xml:space="preserve">| BR-011 | Approver review with side-by-side documents | Complete | Approver portal |</w:t>
      </w:r>
    </w:p>
    <w:p>
      <w:pPr>
        <w:spacing w:after="120"/>
      </w:pPr>
      <w:r>
        <w:rPr>
          <w:sz w:val="22"/>
          <w:szCs w:val="22"/>
        </w:rPr>
        <w:t xml:space="preserve">| BR-012 | Approve/reject with reason | Complete | Audited decisions |</w:t>
      </w:r>
    </w:p>
    <w:p>
      <w:pPr>
        <w:spacing w:after="120"/>
      </w:pPr>
      <w:r>
        <w:rPr>
          <w:sz w:val="22"/>
          <w:szCs w:val="22"/>
        </w:rPr>
        <w:t xml:space="preserve">| BR-013 | Admin fee before disbursement | Complete | Enforced in financial engine |</w:t>
      </w:r>
    </w:p>
    <w:p>
      <w:pPr>
        <w:spacing w:after="120"/>
      </w:pPr>
      <w:r>
        <w:rPr>
          <w:sz w:val="22"/>
          <w:szCs w:val="22"/>
        </w:rPr>
        <w:t xml:space="preserve">| BR-014 | Pool hard-stop on insufficient capital | Complete | Cannot over-disburse |</w:t>
      </w:r>
    </w:p>
    <w:p>
      <w:pPr>
        <w:spacing w:after="120"/>
      </w:pPr>
      <w:r>
        <w:rPr>
          <w:sz w:val="22"/>
          <w:szCs w:val="22"/>
        </w:rPr>
        <w:t xml:space="preserve">| BR-015 | Disbursement with schedule generation | Complete | Weekly repayment schedule |</w:t>
      </w:r>
    </w:p>
    <w:p>
      <w:pPr>
        <w:spacing w:after="120"/>
      </w:pPr>
      <w:r>
        <w:rPr>
          <w:sz w:val="22"/>
          <w:szCs w:val="22"/>
        </w:rPr>
        <w:t xml:space="preserve">| BR-016 | Loan restructuring | Partial | Manual adjustment path; automated rules planned v1.9 |</w:t>
      </w:r>
    </w:p>
    <w:p>
      <w:pPr>
        <w:spacing w:after="120"/>
      </w:pPr>
      <w:r>
        <w:rPr>
          <w:sz w:val="22"/>
          <w:szCs w:val="22"/>
        </w:rPr>
        <w:t xml:space="preserve">| BR-017 | Interest calculation | Rejected | Interest-free product by design |</w:t>
      </w:r>
    </w:p>
    <w:p>
      <w:pPr>
        <w:pStyle w:val="Heading2"/>
        <w:spacing w:after="100" w:before="200"/>
      </w:pPr>
      <w:r>
        <w:rPr>
          <w:color w:val="0F6E56"/>
        </w:rPr>
        <w:t xml:space="preserve">4. Collections and payments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BR-020 | Record full weekly collection amount | Complete | No partial payments |</w:t>
      </w:r>
    </w:p>
    <w:p>
      <w:pPr>
        <w:spacing w:after="120"/>
      </w:pPr>
      <w:r>
        <w:rPr>
          <w:sz w:val="22"/>
          <w:szCs w:val="22"/>
        </w:rPr>
        <w:t xml:space="preserve">| BR-021 | GPS capture on field payment | Complete | Collector field shell |</w:t>
      </w:r>
    </w:p>
    <w:p>
      <w:pPr>
        <w:spacing w:after="120"/>
      </w:pPr>
      <w:r>
        <w:rPr>
          <w:sz w:val="22"/>
          <w:szCs w:val="22"/>
        </w:rPr>
        <w:t xml:space="preserve">| BR-022 | Same-day edit window for collectors | Complete | Immutable after day-end |</w:t>
      </w:r>
    </w:p>
    <w:p>
      <w:pPr>
        <w:spacing w:after="120"/>
      </w:pPr>
      <w:r>
        <w:rPr>
          <w:sz w:val="22"/>
          <w:szCs w:val="22"/>
        </w:rPr>
        <w:t xml:space="preserve">| BR-023 | Payment reversal with audit | Complete | Controlled reversal paths |</w:t>
      </w:r>
    </w:p>
    <w:p>
      <w:pPr>
        <w:spacing w:after="120"/>
      </w:pPr>
      <w:r>
        <w:rPr>
          <w:sz w:val="22"/>
          <w:szCs w:val="22"/>
        </w:rPr>
        <w:t xml:space="preserve">| BR-024 | Admin fee collection | Complete | Separate from loan repayment |</w:t>
      </w:r>
    </w:p>
    <w:p>
      <w:pPr>
        <w:spacing w:after="120"/>
      </w:pPr>
      <w:r>
        <w:rPr>
          <w:sz w:val="22"/>
          <w:szCs w:val="22"/>
        </w:rPr>
        <w:t xml:space="preserve">| BR-025 | Offline payment queue | Complete | Collector offline store |</w:t>
      </w:r>
    </w:p>
    <w:p>
      <w:pPr>
        <w:spacing w:after="120"/>
      </w:pPr>
      <w:r>
        <w:rPr>
          <w:sz w:val="22"/>
          <w:szCs w:val="22"/>
        </w:rPr>
        <w:t xml:space="preserve">| BR-026 | Mobile money integration | Deferred | v1.8 integrations |</w:t>
      </w:r>
    </w:p>
    <w:p>
      <w:pPr>
        <w:spacing w:after="120"/>
      </w:pPr>
      <w:r>
        <w:rPr>
          <w:sz w:val="22"/>
          <w:szCs w:val="22"/>
        </w:rPr>
        <w:t xml:space="preserve">| BR-027 | Bank transfer recording | Planned | v1.8 with statement import |</w:t>
      </w:r>
    </w:p>
    <w:p>
      <w:pPr>
        <w:pStyle w:val="Heading2"/>
        <w:spacing w:after="100" w:before="200"/>
      </w:pPr>
      <w:r>
        <w:rPr>
          <w:color w:val="0F6E56"/>
        </w:rPr>
        <w:t xml:space="preserve">5. Reconciliation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BR-030 | Daily collector reconciliation | Complete | Submit and review workflow |</w:t>
      </w:r>
    </w:p>
    <w:p>
      <w:pPr>
        <w:spacing w:after="120"/>
      </w:pPr>
      <w:r>
        <w:rPr>
          <w:sz w:val="22"/>
          <w:szCs w:val="22"/>
        </w:rPr>
        <w:t xml:space="preserve">| BR-031 | Overpayment review queue | Complete | Approver/admin resolution |</w:t>
      </w:r>
    </w:p>
    <w:p>
      <w:pPr>
        <w:spacing w:after="120"/>
      </w:pPr>
      <w:r>
        <w:rPr>
          <w:sz w:val="22"/>
          <w:szCs w:val="22"/>
        </w:rPr>
        <w:t xml:space="preserve">| BR-032 | Reconciliation aging on dashboard | Complete | v1.7.2 operational dashboard |</w:t>
      </w:r>
    </w:p>
    <w:p>
      <w:pPr>
        <w:spacing w:after="120"/>
      </w:pPr>
      <w:r>
        <w:rPr>
          <w:sz w:val="22"/>
          <w:szCs w:val="22"/>
        </w:rPr>
        <w:t xml:space="preserve">| BR-033 | Automated bank reconciliation | Deferred | v1.8 bank import |</w:t>
      </w:r>
    </w:p>
    <w:p>
      <w:pPr>
        <w:pStyle w:val="Heading2"/>
        <w:spacing w:after="100" w:before="200"/>
      </w:pPr>
      <w:r>
        <w:rPr>
          <w:color w:val="0F6E56"/>
        </w:rPr>
        <w:t xml:space="preserve">6. Capital pools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BR-040 | Pool creation and replenishment | Complete | Super admin |</w:t>
      </w:r>
    </w:p>
    <w:p>
      <w:pPr>
        <w:spacing w:after="120"/>
      </w:pPr>
      <w:r>
        <w:rPr>
          <w:sz w:val="22"/>
          <w:szCs w:val="22"/>
        </w:rPr>
        <w:t xml:space="preserve">| BR-041 | Pool ledger (replenishment, disbursement, repayment, adjustment) | Complete | Integer pesewas |</w:t>
      </w:r>
    </w:p>
    <w:p>
      <w:pPr>
        <w:spacing w:after="120"/>
      </w:pPr>
      <w:r>
        <w:rPr>
          <w:sz w:val="22"/>
          <w:szCs w:val="22"/>
        </w:rPr>
        <w:t xml:space="preserve">| BR-042 | Available balance hard-stop | Complete | Disbursement blocked |</w:t>
      </w:r>
    </w:p>
    <w:p>
      <w:pPr>
        <w:spacing w:after="120"/>
      </w:pPr>
      <w:r>
        <w:rPr>
          <w:sz w:val="22"/>
          <w:szCs w:val="22"/>
        </w:rPr>
        <w:t xml:space="preserve">| BR-043 | Multi-pool per organisation | Complete | Multiple pools supported |</w:t>
      </w:r>
    </w:p>
    <w:p>
      <w:pPr>
        <w:spacing w:after="120"/>
      </w:pPr>
      <w:r>
        <w:rPr>
          <w:sz w:val="22"/>
          <w:szCs w:val="22"/>
        </w:rPr>
        <w:t xml:space="preserve">| BR-044 | Inter-pool transfers | Planned | v2.0 multi-branch |</w:t>
      </w:r>
    </w:p>
    <w:p>
      <w:pPr>
        <w:pStyle w:val="Heading2"/>
        <w:spacing w:after="100" w:before="200"/>
      </w:pPr>
      <w:r>
        <w:rPr>
          <w:color w:val="0F6E56"/>
        </w:rPr>
        <w:t xml:space="preserve">7. Expenses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BR-050 | Field expense recording | Complete | Collector portal |</w:t>
      </w:r>
    </w:p>
    <w:p>
      <w:pPr>
        <w:spacing w:after="120"/>
      </w:pPr>
      <w:r>
        <w:rPr>
          <w:sz w:val="22"/>
          <w:szCs w:val="22"/>
        </w:rPr>
        <w:t xml:space="preserve">| BR-051 | HQ expense recording | Complete | Admin portal |</w:t>
      </w:r>
    </w:p>
    <w:p>
      <w:pPr>
        <w:spacing w:after="120"/>
      </w:pPr>
      <w:r>
        <w:rPr>
          <w:sz w:val="22"/>
          <w:szCs w:val="22"/>
        </w:rPr>
        <w:t xml:space="preserve">| BR-052 | Maker-checker expense approval | Complete | Submitter ≠ approver |</w:t>
      </w:r>
    </w:p>
    <w:p>
      <w:pPr>
        <w:spacing w:after="120"/>
      </w:pPr>
      <w:r>
        <w:rPr>
          <w:sz w:val="22"/>
          <w:szCs w:val="22"/>
        </w:rPr>
        <w:t xml:space="preserve">| BR-053 | Expense affect operating cash only | Complete | Not loan principal |</w:t>
      </w:r>
    </w:p>
    <w:p>
      <w:pPr>
        <w:spacing w:after="120"/>
      </w:pPr>
      <w:r>
        <w:rPr>
          <w:sz w:val="22"/>
          <w:szCs w:val="22"/>
        </w:rPr>
        <w:t xml:space="preserve">| BR-054 | Expense budget limits | Planned | v1.9 automation |</w:t>
      </w:r>
    </w:p>
    <w:p>
      <w:pPr>
        <w:pStyle w:val="Heading2"/>
        <w:spacing w:after="100" w:before="200"/>
      </w:pPr>
      <w:r>
        <w:rPr>
          <w:color w:val="0F6E56"/>
        </w:rPr>
        <w:t xml:space="preserve">8. Groups and collectors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BR-060 | Group formation workflow | Complete | Group formation module |</w:t>
      </w:r>
    </w:p>
    <w:p>
      <w:pPr>
        <w:spacing w:after="120"/>
      </w:pPr>
      <w:r>
        <w:rPr>
          <w:sz w:val="22"/>
          <w:szCs w:val="22"/>
        </w:rPr>
        <w:t xml:space="preserve">| BR-061 | Assign collector to group | Complete | Admin/approver action |</w:t>
      </w:r>
    </w:p>
    <w:p>
      <w:pPr>
        <w:spacing w:after="120"/>
      </w:pPr>
      <w:r>
        <w:rPr>
          <w:sz w:val="22"/>
          <w:szCs w:val="22"/>
        </w:rPr>
        <w:t xml:space="preserve">| BR-062 | Collector dashboard with assigned groups | Complete | Field shell |</w:t>
      </w:r>
    </w:p>
    <w:p>
      <w:pPr>
        <w:spacing w:after="120"/>
      </w:pPr>
      <w:r>
        <w:rPr>
          <w:sz w:val="22"/>
          <w:szCs w:val="22"/>
        </w:rPr>
        <w:t xml:space="preserve">| BR-063 | Collector performance metrics | Partial | Basic metrics; advanced analytics v1.9 |</w:t>
      </w:r>
    </w:p>
    <w:p>
      <w:pPr>
        <w:pStyle w:val="Heading2"/>
        <w:spacing w:after="100" w:before="200"/>
      </w:pPr>
      <w:r>
        <w:rPr>
          <w:color w:val="0F6E56"/>
        </w:rPr>
        <w:t xml:space="preserve">9. RBAC and security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BR-070 | Five production roles | Complete | shared-rbac |</w:t>
      </w:r>
    </w:p>
    <w:p>
      <w:pPr>
        <w:spacing w:after="120"/>
      </w:pPr>
      <w:r>
        <w:rPr>
          <w:sz w:val="22"/>
          <w:szCs w:val="22"/>
        </w:rPr>
        <w:t xml:space="preserve">| BR-071 | Permission overrides | Complete | Admin-granted, audited |</w:t>
      </w:r>
    </w:p>
    <w:p>
      <w:pPr>
        <w:spacing w:after="120"/>
      </w:pPr>
      <w:r>
        <w:rPr>
          <w:sz w:val="22"/>
          <w:szCs w:val="22"/>
        </w:rPr>
        <w:t xml:space="preserve">| BR-072 | Force logout | Complete | Session invalidation |</w:t>
      </w:r>
    </w:p>
    <w:p>
      <w:pPr>
        <w:spacing w:after="120"/>
      </w:pPr>
      <w:r>
        <w:rPr>
          <w:sz w:val="22"/>
          <w:szCs w:val="22"/>
        </w:rPr>
        <w:t xml:space="preserve">| BR-073 | Append-only audit log | Complete | No deletion |</w:t>
      </w:r>
    </w:p>
    <w:p>
      <w:pPr>
        <w:spacing w:after="120"/>
      </w:pPr>
      <w:r>
        <w:rPr>
          <w:sz w:val="22"/>
          <w:szCs w:val="22"/>
        </w:rPr>
        <w:t xml:space="preserve">| BR-074 | HMAC session authentication | Complete | Not Auth.js |</w:t>
      </w:r>
    </w:p>
    <w:p>
      <w:pPr>
        <w:spacing w:after="120"/>
      </w:pPr>
      <w:r>
        <w:rPr>
          <w:sz w:val="22"/>
          <w:szCs w:val="22"/>
        </w:rPr>
        <w:t xml:space="preserve">| BR-075 | Multi-organisation tenancy | Deferred | v2.0 |</w:t>
      </w:r>
    </w:p>
    <w:p>
      <w:pPr>
        <w:spacing w:after="120"/>
      </w:pPr>
      <w:r>
        <w:rPr>
          <w:sz w:val="22"/>
          <w:szCs w:val="22"/>
        </w:rPr>
        <w:t xml:space="preserve">| BR-076 | SSO / SAML integration | Planned | v2.0 enterprise |</w:t>
      </w:r>
    </w:p>
    <w:p>
      <w:pPr>
        <w:pStyle w:val="Heading2"/>
        <w:spacing w:after="100" w:before="200"/>
      </w:pPr>
      <w:r>
        <w:rPr>
          <w:color w:val="0F6E56"/>
        </w:rPr>
        <w:t xml:space="preserve">10. Reporting and intelligence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BR-080 | Operational reports suite | Complete | Reports module |</w:t>
      </w:r>
    </w:p>
    <w:p>
      <w:pPr>
        <w:spacing w:after="120"/>
      </w:pPr>
      <w:r>
        <w:rPr>
          <w:sz w:val="22"/>
          <w:szCs w:val="22"/>
        </w:rPr>
        <w:t xml:space="preserve">| BR-081 | Executive intelligence dashboard | Complete | v1.7.0+ |</w:t>
      </w:r>
    </w:p>
    <w:p>
      <w:pPr>
        <w:spacing w:after="120"/>
      </w:pPr>
      <w:r>
        <w:rPr>
          <w:sz w:val="22"/>
          <w:szCs w:val="22"/>
        </w:rPr>
        <w:t xml:space="preserve">| BR-082 | Forecasting | Complete | Schedule-based projection |</w:t>
      </w:r>
    </w:p>
    <w:p>
      <w:pPr>
        <w:spacing w:after="120"/>
      </w:pPr>
      <w:r>
        <w:rPr>
          <w:sz w:val="22"/>
          <w:szCs w:val="22"/>
        </w:rPr>
        <w:t xml:space="preserve">| BR-083 | Portfolio breakdown | Complete | District/community/group |</w:t>
      </w:r>
    </w:p>
    <w:p>
      <w:pPr>
        <w:spacing w:after="120"/>
      </w:pPr>
      <w:r>
        <w:rPr>
          <w:sz w:val="22"/>
          <w:szCs w:val="22"/>
        </w:rPr>
        <w:t xml:space="preserve">| BR-084 | Compliance pack export | Complete | Executive intelligence |</w:t>
      </w:r>
    </w:p>
    <w:p>
      <w:pPr>
        <w:spacing w:after="120"/>
      </w:pPr>
      <w:r>
        <w:rPr>
          <w:sz w:val="22"/>
          <w:szCs w:val="22"/>
        </w:rPr>
        <w:t xml:space="preserve">| BR-085 | Standalone Export Center | Rejected | Removed v1.7.3; contextual exports |</w:t>
      </w:r>
    </w:p>
    <w:p>
      <w:pPr>
        <w:spacing w:after="120"/>
      </w:pPr>
      <w:r>
        <w:rPr>
          <w:sz w:val="22"/>
          <w:szCs w:val="22"/>
        </w:rPr>
        <w:t xml:space="preserve">| BR-086 | Contextual export from reports/profiles | Complete | Primary export pattern v1.7.3 |</w:t>
      </w:r>
    </w:p>
    <w:p>
      <w:pPr>
        <w:spacing w:after="120"/>
      </w:pPr>
      <w:r>
        <w:rPr>
          <w:sz w:val="22"/>
          <w:szCs w:val="22"/>
        </w:rPr>
        <w:t xml:space="preserve">| BR-087 | Scheduled report delivery | Planned | v1.9 automation |</w:t>
      </w:r>
    </w:p>
    <w:p>
      <w:pPr>
        <w:pStyle w:val="Heading2"/>
        <w:spacing w:after="100" w:before="200"/>
      </w:pPr>
      <w:r>
        <w:rPr>
          <w:color w:val="0F6E56"/>
        </w:rPr>
        <w:t xml:space="preserve">11. Notifications and communications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BR-090 | In-app notifications | Complete | Notification inbox |</w:t>
      </w:r>
    </w:p>
    <w:p>
      <w:pPr>
        <w:spacing w:after="120"/>
      </w:pPr>
      <w:r>
        <w:rPr>
          <w:sz w:val="22"/>
          <w:szCs w:val="22"/>
        </w:rPr>
        <w:t xml:space="preserve">| BR-091 | Email notifications | Complete | Transactional email |</w:t>
      </w:r>
    </w:p>
    <w:p>
      <w:pPr>
        <w:spacing w:after="120"/>
      </w:pPr>
      <w:r>
        <w:rPr>
          <w:sz w:val="22"/>
          <w:szCs w:val="22"/>
        </w:rPr>
        <w:t xml:space="preserve">| BR-092 | SMS notifications | Complete | Provider-configured |</w:t>
      </w:r>
    </w:p>
    <w:p>
      <w:pPr>
        <w:spacing w:after="120"/>
      </w:pPr>
      <w:r>
        <w:rPr>
          <w:sz w:val="22"/>
          <w:szCs w:val="22"/>
        </w:rPr>
        <w:t xml:space="preserve">| BR-093 | Notification deduplication | Complete | Dispatch layer |</w:t>
      </w:r>
    </w:p>
    <w:p>
      <w:pPr>
        <w:spacing w:after="120"/>
      </w:pPr>
      <w:r>
        <w:rPr>
          <w:sz w:val="22"/>
          <w:szCs w:val="22"/>
        </w:rPr>
        <w:t xml:space="preserve">| BR-094 | Quiet hours | Complete | Organisation settings |</w:t>
      </w:r>
    </w:p>
    <w:p>
      <w:pPr>
        <w:spacing w:after="120"/>
      </w:pPr>
      <w:r>
        <w:rPr>
          <w:sz w:val="22"/>
          <w:szCs w:val="22"/>
        </w:rPr>
        <w:t xml:space="preserve">| BR-095 | Communications center | Complete | Templates, broadcasts, threads |</w:t>
      </w:r>
    </w:p>
    <w:p>
      <w:pPr>
        <w:spacing w:after="120"/>
      </w:pPr>
      <w:r>
        <w:rPr>
          <w:sz w:val="22"/>
          <w:szCs w:val="22"/>
        </w:rPr>
        <w:t xml:space="preserve">| BR-096 | Borrower SMS reminders | Planned | v2.5 engagement |</w:t>
      </w:r>
    </w:p>
    <w:p>
      <w:pPr>
        <w:pStyle w:val="Heading2"/>
        <w:spacing w:after="100" w:before="200"/>
      </w:pPr>
      <w:r>
        <w:rPr>
          <w:color w:val="0F6E56"/>
        </w:rPr>
        <w:t xml:space="preserve">12. Operations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BR-100 | Health endpoint | Complete | /health |</w:t>
      </w:r>
    </w:p>
    <w:p>
      <w:pPr>
        <w:spacing w:after="120"/>
      </w:pPr>
      <w:r>
        <w:rPr>
          <w:sz w:val="22"/>
          <w:szCs w:val="22"/>
        </w:rPr>
        <w:t xml:space="preserve">| BR-101 | Ops incidents | Complete | v1.7.0+ |</w:t>
      </w:r>
    </w:p>
    <w:p>
      <w:pPr>
        <w:spacing w:after="120"/>
      </w:pPr>
      <w:r>
        <w:rPr>
          <w:sz w:val="22"/>
          <w:szCs w:val="22"/>
        </w:rPr>
        <w:t xml:space="preserve">| BR-102 | Maintenance windows | Complete | v1.7.0+ |</w:t>
      </w:r>
    </w:p>
    <w:p>
      <w:pPr>
        <w:spacing w:after="120"/>
      </w:pPr>
      <w:r>
        <w:rPr>
          <w:sz w:val="22"/>
          <w:szCs w:val="22"/>
        </w:rPr>
        <w:t xml:space="preserve">| BR-103 | Vercel Cron notification dispatch | Complete | Daily 06:00 UTC |</w:t>
      </w:r>
    </w:p>
    <w:p>
      <w:pPr>
        <w:spacing w:after="120"/>
      </w:pPr>
      <w:r>
        <w:rPr>
          <w:sz w:val="22"/>
          <w:szCs w:val="22"/>
        </w:rPr>
        <w:t xml:space="preserve">| BR-104 | Redis job queue | Deferred | Current scale sufficient |</w:t>
      </w:r>
    </w:p>
    <w:p>
      <w:pPr>
        <w:pStyle w:val="Heading2"/>
        <w:spacing w:after="100" w:before="200"/>
      </w:pPr>
      <w:r>
        <w:rPr>
          <w:color w:val="0F6E56"/>
        </w:rPr>
        <w:t xml:space="preserve">13. UI/UX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BR-110 | Design system tokens | Complete | Tailwind + CSS vars |</w:t>
      </w:r>
    </w:p>
    <w:p>
      <w:pPr>
        <w:spacing w:after="120"/>
      </w:pPr>
      <w:r>
        <w:rPr>
          <w:sz w:val="22"/>
          <w:szCs w:val="22"/>
        </w:rPr>
        <w:t xml:space="preserve">| BR-111 | Office and field shell profiles | Complete | DashboardShell |</w:t>
      </w:r>
    </w:p>
    <w:p>
      <w:pPr>
        <w:spacing w:after="120"/>
      </w:pPr>
      <w:r>
        <w:rPr>
          <w:sz w:val="22"/>
          <w:szCs w:val="22"/>
        </w:rPr>
        <w:t xml:space="preserve">| BR-112 | Product Tour 2.0 | Complete | v1.7.2 |</w:t>
      </w:r>
    </w:p>
    <w:p>
      <w:pPr>
        <w:spacing w:after="120"/>
      </w:pPr>
      <w:r>
        <w:rPr>
          <w:sz w:val="22"/>
          <w:szCs w:val="22"/>
        </w:rPr>
        <w:t xml:space="preserve">| BR-113 | Guided onboarding | Partial | Foundation; full flow RC2 |</w:t>
      </w:r>
    </w:p>
    <w:p>
      <w:pPr>
        <w:spacing w:after="120"/>
      </w:pPr>
      <w:r>
        <w:rPr>
          <w:sz w:val="22"/>
          <w:szCs w:val="22"/>
        </w:rPr>
        <w:t xml:space="preserve">| BR-114 | Full shadcn migration | Partial | High-traffic routes done |</w:t>
      </w:r>
    </w:p>
    <w:p>
      <w:pPr>
        <w:spacing w:after="120"/>
      </w:pPr>
      <w:r>
        <w:rPr>
          <w:sz w:val="22"/>
          <w:szCs w:val="22"/>
        </w:rPr>
        <w:t xml:space="preserve">| BR-115 | WCAG 2.1 AA compliance | Partial | Remediations ongoing |</w:t>
      </w:r>
    </w:p>
    <w:p>
      <w:pPr>
        <w:spacing w:after="120"/>
      </w:pPr>
      <w:r>
        <w:rPr>
          <w:sz w:val="22"/>
          <w:szCs w:val="22"/>
        </w:rPr>
        <w:t xml:space="preserve">| BR-116 | Localized UI | Deferred | v3.0 |</w:t>
      </w:r>
    </w:p>
    <w:p>
      <w:pPr>
        <w:pStyle w:val="Heading2"/>
        <w:spacing w:after="100" w:before="200"/>
      </w:pPr>
      <w:r>
        <w:rPr>
          <w:color w:val="0F6E56"/>
        </w:rPr>
        <w:t xml:space="preserve">14. Platform and deployment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BR-120 | Vercel + Neon deployment | Complete | Production |</w:t>
      </w:r>
    </w:p>
    <w:p>
      <w:pPr>
        <w:spacing w:after="120"/>
      </w:pPr>
      <w:r>
        <w:rPr>
          <w:sz w:val="22"/>
          <w:szCs w:val="22"/>
        </w:rPr>
        <w:t xml:space="preserve">| BR-121 | Domain extraction monorepo | Complete | v1.5.0 |</w:t>
      </w:r>
    </w:p>
    <w:p>
      <w:pPr>
        <w:spacing w:after="120"/>
      </w:pPr>
      <w:r>
        <w:rPr>
          <w:sz w:val="22"/>
          <w:szCs w:val="22"/>
        </w:rPr>
        <w:t xml:space="preserve">| BR-122 | Route Handler in-process API | Complete | Default mode |</w:t>
      </w:r>
    </w:p>
    <w:p>
      <w:pPr>
        <w:spacing w:after="120"/>
      </w:pPr>
      <w:r>
        <w:rPr>
          <w:sz w:val="22"/>
          <w:szCs w:val="22"/>
        </w:rPr>
        <w:t xml:space="preserve">| BR-123 | Migration journal | Complete | Drizzle SQL |</w:t>
      </w:r>
    </w:p>
    <w:p>
      <w:pPr>
        <w:spacing w:after="120"/>
      </w:pPr>
      <w:r>
        <w:rPr>
          <w:sz w:val="22"/>
          <w:szCs w:val="22"/>
        </w:rPr>
        <w:t xml:space="preserve">| BR-124 | PWA with offline support | Complete | Collector focus |</w:t>
      </w:r>
    </w:p>
    <w:p>
      <w:pPr>
        <w:spacing w:after="120"/>
      </w:pPr>
      <w:r>
        <w:rPr>
          <w:sz w:val="22"/>
          <w:szCs w:val="22"/>
        </w:rPr>
        <w:t xml:space="preserve">| BR-125 | Native mobile app | Deferred | PWA sufficient |</w:t>
      </w:r>
    </w:p>
    <w:p>
      <w:pPr>
        <w:pStyle w:val="Heading2"/>
        <w:spacing w:after="100" w:before="200"/>
      </w:pPr>
      <w:r>
        <w:rPr>
          <w:color w:val="0F6E56"/>
        </w:rPr>
        <w:t xml:space="preserve">15. Documentation (v1.7.3)</w:t>
      </w:r>
    </w:p>
    <w:p>
      <w:pPr>
        <w:spacing w:after="120"/>
      </w:pPr>
      <w:r>
        <w:rPr>
          <w:sz w:val="22"/>
          <w:szCs w:val="22"/>
        </w:rPr>
        <w:t xml:space="preserve">| ID | Requirement | Status | Notes |</w:t>
      </w:r>
    </w:p>
    <w:p>
      <w:pPr>
        <w:spacing w:after="120"/>
      </w:pPr>
      <w:r>
        <w:rPr>
          <w:sz w:val="22"/>
          <w:szCs w:val="22"/>
        </w:rPr>
        <w:t xml:space="preserve">|----|-------------|--------|-------|</w:t>
      </w:r>
    </w:p>
    <w:p>
      <w:pPr>
        <w:spacing w:after="120"/>
      </w:pPr>
      <w:r>
        <w:rPr>
          <w:sz w:val="22"/>
          <w:szCs w:val="22"/>
        </w:rPr>
        <w:t xml:space="preserve">| BR-130 | Official documentation library | Complete | v1.7.3 |</w:t>
      </w:r>
    </w:p>
    <w:p>
      <w:pPr>
        <w:spacing w:after="120"/>
      </w:pPr>
      <w:r>
        <w:rPr>
          <w:sz w:val="22"/>
          <w:szCs w:val="22"/>
        </w:rPr>
        <w:t xml:space="preserve">| BR-131 | Role-based user manuals | Complete | Five roles |</w:t>
      </w:r>
    </w:p>
    <w:p>
      <w:pPr>
        <w:spacing w:after="120"/>
      </w:pPr>
      <w:r>
        <w:rPr>
          <w:sz w:val="22"/>
          <w:szCs w:val="22"/>
        </w:rPr>
        <w:t xml:space="preserve">| BR-132 | Branded PDF/DOCX generation | Complete | docs:generate script |</w:t>
      </w:r>
    </w:p>
    <w:p>
      <w:pPr>
        <w:spacing w:after="120"/>
      </w:pPr>
      <w:r>
        <w:rPr>
          <w:sz w:val="22"/>
          <w:szCs w:val="22"/>
        </w:rPr>
        <w:t xml:space="preserve">| BR-133 | Static docs web portal | Planned | Structure defined; deploy pending |</w:t>
      </w:r>
    </w:p>
    <w:p>
      <w:pPr>
        <w:spacing w:after="120"/>
      </w:pPr>
      <w:r>
        <w:rPr>
          <w:sz w:val="22"/>
          <w:szCs w:val="22"/>
        </w:rPr>
        <w:t xml:space="preserve">| BR-134 | OpenAPI specification | Planned | v1.8 |</w:t>
      </w:r>
    </w:p>
    <w:p>
      <w:pPr>
        <w:pStyle w:val="Heading2"/>
        <w:spacing w:after="100" w:before="200"/>
      </w:pPr>
      <w:r>
        <w:rPr>
          <w:color w:val="0F6E56"/>
        </w:rPr>
        <w:t xml:space="preserve">16. Summary statistics</w:t>
      </w:r>
    </w:p>
    <w:p>
      <w:pPr>
        <w:spacing w:after="120"/>
      </w:pPr>
      <w:r>
        <w:rPr>
          <w:sz w:val="22"/>
          <w:szCs w:val="22"/>
        </w:rPr>
        <w:t xml:space="preserve">| Status | Count |</w:t>
      </w:r>
    </w:p>
    <w:p>
      <w:pPr>
        <w:spacing w:after="120"/>
      </w:pPr>
      <w:r>
        <w:rPr>
          <w:sz w:val="22"/>
          <w:szCs w:val="22"/>
        </w:rPr>
        <w:t xml:space="preserve">|--------|-------|</w:t>
      </w:r>
    </w:p>
    <w:p>
      <w:pPr>
        <w:spacing w:after="120"/>
      </w:pPr>
      <w:r>
        <w:rPr>
          <w:sz w:val="22"/>
          <w:szCs w:val="22"/>
        </w:rPr>
        <w:t xml:space="preserve">| Complete | 62 |</w:t>
      </w:r>
    </w:p>
    <w:p>
      <w:pPr>
        <w:spacing w:after="120"/>
      </w:pPr>
      <w:r>
        <w:rPr>
          <w:sz w:val="22"/>
          <w:szCs w:val="22"/>
        </w:rPr>
        <w:t xml:space="preserve">| Partial | 6 |</w:t>
      </w:r>
    </w:p>
    <w:p>
      <w:pPr>
        <w:spacing w:after="120"/>
      </w:pPr>
      <w:r>
        <w:rPr>
          <w:sz w:val="22"/>
          <w:szCs w:val="22"/>
        </w:rPr>
        <w:t xml:space="preserve">| Planned | 8 |</w:t>
      </w:r>
    </w:p>
    <w:p>
      <w:pPr>
        <w:spacing w:after="120"/>
      </w:pPr>
      <w:r>
        <w:rPr>
          <w:sz w:val="22"/>
          <w:szCs w:val="22"/>
        </w:rPr>
        <w:t xml:space="preserve">| Deferred | 10 |</w:t>
      </w:r>
    </w:p>
    <w:p>
      <w:pPr>
        <w:spacing w:after="120"/>
      </w:pPr>
      <w:r>
        <w:rPr>
          <w:sz w:val="22"/>
          <w:szCs w:val="22"/>
        </w:rPr>
        <w:t xml:space="preserve">| Rejected | 2 |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Book v1.7.3</dc:title>
  <dc:creator>WILMS</dc:creator>
  <dc:description>Official WILMS documentation</dc:description>
  <cp:lastModifiedBy>Un-named</cp:lastModifiedBy>
  <cp:revision>1</cp:revision>
  <dcterms:created xsi:type="dcterms:W3CDTF">2026-08-07T18:07:38.499Z</dcterms:created>
  <dcterms:modified xsi:type="dcterms:W3CDTF">2026-08-07T18:07:38.499Z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