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0F6E56"/>
          <w:sz w:val="56"/>
          <w:szCs w:val="56"/>
        </w:rPr>
        <w:t xml:space="preserve">WILMS</w:t>
      </w:r>
    </w:p>
    <w:p>
      <w:pPr>
        <w:spacing w:after="200"/>
        <w:jc w:val="center"/>
      </w:pPr>
      <w:r>
        <w:rPr>
          <w:sz w:val="22"/>
          <w:szCs w:val="22"/>
        </w:rPr>
        <w:t xml:space="preserve">Women's Interest-Free Loan Management System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Reporting &amp; Analytics Book — v1.7.3</w:t>
      </w:r>
    </w:p>
    <w:p>
      <w:pPr>
        <w:pStyle w:val="Heading1"/>
        <w:spacing w:after="100" w:before="200"/>
      </w:pPr>
      <w:r>
        <w:rPr>
          <w:color w:val="0F6E56"/>
        </w:rPr>
        <w:t xml:space="preserve">WILMS Reporting &amp; Analytics Book</w:t>
      </w:r>
    </w:p>
    <w:p>
      <w:pPr>
        <w:spacing w:after="120"/>
      </w:pPr>
      <w:r>
        <w:rPr>
          <w:sz w:val="22"/>
          <w:szCs w:val="22"/>
        </w:rPr>
        <w:t xml:space="preserve">Version: 1.7.3 Classification: Confidential</w:t>
      </w:r>
    </w:p>
    <w:p>
      <w:pPr>
        <w:pStyle w:val="Heading2"/>
        <w:spacing w:after="100" w:before="200"/>
      </w:pPr>
      <w:r>
        <w:rPr>
          <w:color w:val="0F6E56"/>
        </w:rPr>
        <w:t xml:space="preserve">1. Overview</w:t>
      </w:r>
    </w:p>
    <w:p>
      <w:pPr>
        <w:spacing w:after="120"/>
      </w:pPr>
      <w:r>
        <w:rPr>
          <w:sz w:val="22"/>
          <w:szCs w:val="22"/>
        </w:rPr>
        <w:t xml:space="preserve">WILMS provides operational reports, executive intelligence, forecasting, and contextual export capabilities for programme oversight and board presentation.</w:t>
      </w:r>
    </w:p>
    <w:p>
      <w:pPr>
        <w:pStyle w:val="Heading2"/>
        <w:spacing w:after="100" w:before="200"/>
      </w:pPr>
      <w:r>
        <w:rPr>
          <w:color w:val="0F6E56"/>
        </w:rPr>
        <w:t xml:space="preserve">2. Report types</w:t>
      </w:r>
    </w:p>
    <w:p>
      <w:pPr>
        <w:spacing w:after="120"/>
      </w:pPr>
      <w:r>
        <w:rPr>
          <w:sz w:val="22"/>
          <w:szCs w:val="22"/>
        </w:rPr>
        <w:t xml:space="preserve">| Report | Description | Primary audience |</w:t>
      </w:r>
    </w:p>
    <w:p>
      <w:pPr>
        <w:spacing w:after="120"/>
      </w:pPr>
      <w:r>
        <w:rPr>
          <w:sz w:val="22"/>
          <w:szCs w:val="22"/>
        </w:rPr>
        <w:t xml:space="preserve">|--------|-------------|-----------------|</w:t>
      </w:r>
    </w:p>
    <w:p>
      <w:pPr>
        <w:spacing w:after="120"/>
      </w:pPr>
      <w:r>
        <w:rPr>
          <w:sz w:val="22"/>
          <w:szCs w:val="22"/>
        </w:rPr>
        <w:t xml:space="preserve">| Portfolio summary | Active loans, disbursed, collected, outstanding | Admin, Auditor |</w:t>
      </w:r>
    </w:p>
    <w:p>
      <w:pPr>
        <w:spacing w:after="120"/>
      </w:pPr>
      <w:r>
        <w:rPr>
          <w:sz w:val="22"/>
          <w:szCs w:val="22"/>
        </w:rPr>
        <w:t xml:space="preserve">| Collection performance | Weekly/monthly collection rates | Admin, Director |</w:t>
      </w:r>
    </w:p>
    <w:p>
      <w:pPr>
        <w:spacing w:after="120"/>
      </w:pPr>
      <w:r>
        <w:rPr>
          <w:sz w:val="22"/>
          <w:szCs w:val="22"/>
        </w:rPr>
        <w:t xml:space="preserve">| Overdue analysis | Past-due loans by age bucket | Admin, Approver |</w:t>
      </w:r>
    </w:p>
    <w:p>
      <w:pPr>
        <w:spacing w:after="120"/>
      </w:pPr>
      <w:r>
        <w:rPr>
          <w:sz w:val="22"/>
          <w:szCs w:val="22"/>
        </w:rPr>
        <w:t xml:space="preserve">| Disbursement register | All disbursements in period | Admin, Auditor |</w:t>
      </w:r>
    </w:p>
    <w:p>
      <w:pPr>
        <w:spacing w:after="120"/>
      </w:pPr>
      <w:r>
        <w:rPr>
          <w:sz w:val="22"/>
          <w:szCs w:val="22"/>
        </w:rPr>
        <w:t xml:space="preserve">| Expense summary | Expenses by category and status | Admin, Finance |</w:t>
      </w:r>
    </w:p>
    <w:p>
      <w:pPr>
        <w:spacing w:after="120"/>
      </w:pPr>
      <w:r>
        <w:rPr>
          <w:sz w:val="22"/>
          <w:szCs w:val="22"/>
        </w:rPr>
        <w:t xml:space="preserve">| Reconciliation status | Open and resolved reconciliations | Admin |</w:t>
      </w:r>
    </w:p>
    <w:p>
      <w:pPr>
        <w:spacing w:after="120"/>
      </w:pPr>
      <w:r>
        <w:rPr>
          <w:sz w:val="22"/>
          <w:szCs w:val="22"/>
        </w:rPr>
        <w:t xml:space="preserve">| Borrower register | Full borrower listing | Admin, Auditor |</w:t>
      </w:r>
    </w:p>
    <w:p>
      <w:pPr>
        <w:spacing w:after="120"/>
      </w:pPr>
      <w:r>
        <w:rPr>
          <w:sz w:val="22"/>
          <w:szCs w:val="22"/>
        </w:rPr>
        <w:t xml:space="preserve">| Group performance | Collection rates by group | Admin, Collector lead |</w:t>
      </w:r>
    </w:p>
    <w:p>
      <w:pPr>
        <w:pStyle w:val="Heading2"/>
        <w:spacing w:after="100" w:before="200"/>
      </w:pPr>
      <w:r>
        <w:rPr>
          <w:color w:val="0F6E56"/>
        </w:rPr>
        <w:t xml:space="preserve">3. Executive intelligence</w:t>
      </w:r>
    </w:p>
    <w:p>
      <w:pPr>
        <w:spacing w:after="120"/>
      </w:pPr>
      <w:r>
        <w:rPr>
          <w:sz w:val="22"/>
          <w:szCs w:val="22"/>
        </w:rPr>
        <w:t xml:space="preserve">Available at /executive for admin and authorized roles.</w:t>
      </w:r>
    </w:p>
    <w:p>
      <w:pPr>
        <w:pStyle w:val="Heading3"/>
        <w:spacing w:after="100" w:before="200"/>
      </w:pPr>
      <w:r>
        <w:rPr>
          <w:color w:val="0F6E56"/>
        </w:rPr>
        <w:t xml:space="preserve">KPI categories</w:t>
      </w:r>
    </w:p>
    <w:p>
      <w:pPr>
        <w:spacing w:after="120"/>
      </w:pPr>
      <w:r>
        <w:rPr>
          <w:sz w:val="22"/>
          <w:szCs w:val="22"/>
        </w:rPr>
        <w:t xml:space="preserve">Financial: Total disbursed, collected, outstanding, pool utilisation, expense totals.</w:t>
      </w:r>
    </w:p>
    <w:p>
      <w:pPr>
        <w:spacing w:after="120"/>
      </w:pPr>
      <w:r>
        <w:rPr>
          <w:sz w:val="22"/>
          <w:szCs w:val="22"/>
        </w:rPr>
        <w:t xml:space="preserve">Operational: Active borrowers, collection rate, groups served, collector count.</w:t>
      </w:r>
    </w:p>
    <w:p>
      <w:pPr>
        <w:spacing w:after="120"/>
      </w:pPr>
      <w:r>
        <w:rPr>
          <w:sz w:val="22"/>
          <w:szCs w:val="22"/>
        </w:rPr>
        <w:t xml:space="preserve">Risk: Flagged borrowers, overdue count, reconciliation aging, forecast variance.</w:t>
      </w:r>
    </w:p>
    <w:p>
      <w:pPr>
        <w:pStyle w:val="Heading3"/>
        <w:spacing w:after="100" w:before="200"/>
      </w:pPr>
      <w:r>
        <w:rPr>
          <w:color w:val="0F6E56"/>
        </w:rPr>
        <w:t xml:space="preserve">Forecasting</w:t>
      </w:r>
    </w:p>
    <w:p>
      <w:pPr>
        <w:spacing w:after="120"/>
      </w:pPr>
      <w:r>
        <w:rPr>
          <w:sz w:val="22"/>
          <w:szCs w:val="22"/>
        </w:rPr>
        <w:t xml:space="preserve">Schedule-based projection with configurable horizon (default 28 days). Projects expected collections based on active loan schedules.</w:t>
      </w:r>
    </w:p>
    <w:p>
      <w:pPr>
        <w:pStyle w:val="Heading3"/>
        <w:spacing w:after="100" w:before="200"/>
      </w:pPr>
      <w:r>
        <w:rPr>
          <w:color w:val="0F6E56"/>
        </w:rPr>
        <w:t xml:space="preserve">Portfolio breakdown</w:t>
      </w:r>
    </w:p>
    <w:p>
      <w:pPr>
        <w:spacing w:after="120"/>
      </w:pPr>
      <w:r>
        <w:rPr>
          <w:sz w:val="22"/>
          <w:szCs w:val="22"/>
        </w:rPr>
        <w:t xml:space="preserve">Dimensions: district, community, group. Drill-down from summary to detail.</w:t>
      </w:r>
    </w:p>
    <w:p>
      <w:pPr>
        <w:pStyle w:val="Heading3"/>
        <w:spacing w:after="100" w:before="200"/>
      </w:pPr>
      <w:r>
        <w:rPr>
          <w:color w:val="0F6E56"/>
        </w:rPr>
        <w:t xml:space="preserve">Compliance pack</w:t>
      </w:r>
    </w:p>
    <w:p>
      <w:pPr>
        <w:spacing w:after="120"/>
      </w:pPr>
      <w:r>
        <w:rPr>
          <w:sz w:val="22"/>
          <w:szCs w:val="22"/>
        </w:rPr>
        <w:t xml:space="preserve">One-click export of KPI summary, portfolio snapshot, and audit sample for external review.</w:t>
      </w:r>
    </w:p>
    <w:p>
      <w:pPr>
        <w:pStyle w:val="Heading2"/>
        <w:spacing w:after="100" w:before="200"/>
      </w:pPr>
      <w:r>
        <w:rPr>
          <w:color w:val="0F6E56"/>
        </w:rPr>
        <w:t xml:space="preserve">4. Export capabilities</w:t>
      </w:r>
    </w:p>
    <w:p>
      <w:pPr>
        <w:pStyle w:val="Heading3"/>
        <w:spacing w:after="100" w:before="200"/>
      </w:pPr>
      <w:r>
        <w:rPr>
          <w:color w:val="0F6E56"/>
        </w:rPr>
        <w:t xml:space="preserve">v1.7.3: Contextual exports (primary pattern)</w:t>
      </w:r>
    </w:p>
    <w:p>
      <w:pPr>
        <w:spacing w:after="120"/>
      </w:pPr>
      <w:r>
        <w:rPr>
          <w:sz w:val="22"/>
          <w:szCs w:val="22"/>
        </w:rPr>
        <w:t xml:space="preserve">Export initiated from the page displaying source data:</w:t>
      </w:r>
    </w:p>
    <w:p>
      <w:pPr>
        <w:spacing w:after="120"/>
      </w:pPr>
      <w:r>
        <w:rPr>
          <w:sz w:val="22"/>
          <w:szCs w:val="22"/>
        </w:rPr>
        <w:t xml:space="preserve">| Source | Formats |</w:t>
      </w:r>
    </w:p>
    <w:p>
      <w:pPr>
        <w:spacing w:after="120"/>
      </w:pPr>
      <w:r>
        <w:rPr>
          <w:sz w:val="22"/>
          <w:szCs w:val="22"/>
        </w:rPr>
        <w:t xml:space="preserve">|--------|---------|</w:t>
      </w:r>
    </w:p>
    <w:p>
      <w:pPr>
        <w:spacing w:after="120"/>
      </w:pPr>
      <w:r>
        <w:rPr>
          <w:sz w:val="22"/>
          <w:szCs w:val="22"/>
        </w:rPr>
        <w:t xml:space="preserve">| Report results | PDF, Excel, CSV, Print |</w:t>
      </w:r>
    </w:p>
    <w:p>
      <w:pPr>
        <w:spacing w:after="120"/>
      </w:pPr>
      <w:r>
        <w:rPr>
          <w:sz w:val="22"/>
          <w:szCs w:val="22"/>
        </w:rPr>
        <w:t xml:space="preserve">| Borrower profile | PDF, Print |</w:t>
      </w:r>
    </w:p>
    <w:p>
      <w:pPr>
        <w:spacing w:after="120"/>
      </w:pPr>
      <w:r>
        <w:rPr>
          <w:sz w:val="22"/>
          <w:szCs w:val="22"/>
        </w:rPr>
        <w:t xml:space="preserve">| Executive intelligence | PDF compliance pack |</w:t>
      </w:r>
    </w:p>
    <w:p>
      <w:pPr>
        <w:spacing w:after="120"/>
      </w:pPr>
      <w:r>
        <w:rPr>
          <w:sz w:val="22"/>
          <w:szCs w:val="22"/>
        </w:rPr>
        <w:t xml:space="preserve">| Reconciliation summary | PDF, Excel |</w:t>
      </w:r>
    </w:p>
    <w:p>
      <w:pPr>
        <w:pStyle w:val="Heading3"/>
        <w:spacing w:after="100" w:before="200"/>
      </w:pPr>
      <w:r>
        <w:rPr>
          <w:color w:val="0F6E56"/>
        </w:rPr>
        <w:t xml:space="preserve">Export engines</w:t>
      </w:r>
    </w:p>
    <w:p>
      <w:pPr>
        <w:spacing w:after="120"/>
      </w:pPr>
      <w:r>
        <w:rPr>
          <w:sz w:val="22"/>
          <w:szCs w:val="22"/>
        </w:rPr>
        <w:t xml:space="preserve">Located in apps/frontend/src/features/export/:</w:t>
      </w:r>
    </w:p>
    <w:p>
      <w:pPr>
        <w:spacing w:after="120"/>
      </w:pPr>
      <w:r>
        <w:rPr>
          <w:sz w:val="22"/>
          <w:szCs w:val="22"/>
        </w:rPr>
        <w:t xml:space="preserve">• PDF — jsPDF with branded cover page (#0F6E56)</w:t>
      </w:r>
    </w:p>
    <w:p>
      <w:pPr>
        <w:spacing w:after="120"/>
      </w:pPr>
      <w:r>
        <w:rPr>
          <w:sz w:val="22"/>
          <w:szCs w:val="22"/>
        </w:rPr>
        <w:t xml:space="preserve">• Excel — ExcelJS workbooks</w:t>
      </w:r>
    </w:p>
    <w:p>
      <w:pPr>
        <w:spacing w:after="120"/>
      </w:pPr>
      <w:r>
        <w:rPr>
          <w:sz w:val="22"/>
          <w:szCs w:val="22"/>
        </w:rPr>
        <w:t xml:space="preserve">• CSV — Standard comma-separated</w:t>
      </w:r>
    </w:p>
    <w:p>
      <w:pPr>
        <w:spacing w:after="120"/>
      </w:pPr>
      <w:r>
        <w:rPr>
          <w:sz w:val="22"/>
          <w:szCs w:val="22"/>
        </w:rPr>
        <w:t xml:space="preserve">• Print — iframe-based, no popup blockers</w:t>
      </w:r>
    </w:p>
    <w:p>
      <w:pPr>
        <w:spacing w:after="120"/>
      </w:pPr>
      <w:r>
        <w:rPr>
          <w:sz w:val="22"/>
          <w:szCs w:val="22"/>
        </w:rPr>
        <w:t xml:space="preserve">• DOCX — Word documents via docx library</w:t>
      </w:r>
    </w:p>
    <w:p>
      <w:pPr>
        <w:spacing w:after="120"/>
      </w:pPr>
      <w:r>
        <w:rPr>
          <w:sz w:val="22"/>
          <w:szCs w:val="22"/>
        </w:rPr>
        <w:t xml:space="preserve">All exports include confidentiality footer.</w:t>
      </w:r>
    </w:p>
    <w:p>
      <w:pPr>
        <w:pStyle w:val="Heading3"/>
        <w:spacing w:after="100" w:before="200"/>
      </w:pPr>
      <w:r>
        <w:rPr>
          <w:color w:val="0F6E56"/>
        </w:rPr>
        <w:t xml:space="preserve">Export job API (retained)</w:t>
      </w:r>
    </w:p>
    <w:p>
      <w:pPr>
        <w:spacing w:after="120"/>
      </w:pPr>
      <w:r>
        <w:rPr>
          <w:sz w:val="22"/>
          <w:szCs w:val="22"/>
        </w:rPr>
        <w:t xml:space="preserve">POST/GET /exports/jobs for programmatic export tracking. Used by embedded flows. Standalone Export Center UI removed v1.7.3.</w:t>
      </w:r>
    </w:p>
    <w:p>
      <w:pPr>
        <w:pStyle w:val="Heading2"/>
        <w:spacing w:after="100" w:before="200"/>
      </w:pPr>
      <w:r>
        <w:rPr>
          <w:color w:val="0F6E56"/>
        </w:rPr>
        <w:t xml:space="preserve">5. Dashboard analytics</w:t>
      </w:r>
    </w:p>
    <w:p>
      <w:pPr>
        <w:pStyle w:val="Heading3"/>
        <w:spacing w:after="100" w:before="200"/>
      </w:pPr>
      <w:r>
        <w:rPr>
          <w:color w:val="0F6E56"/>
        </w:rPr>
        <w:t xml:space="preserve">Operational dashboard</w:t>
      </w:r>
    </w:p>
    <w:p>
      <w:pPr>
        <w:spacing w:after="120"/>
      </w:pPr>
      <w:r>
        <w:rPr>
          <w:sz w:val="22"/>
          <w:szCs w:val="22"/>
        </w:rPr>
        <w:t xml:space="preserve">Reconciliation aging, pending table, Recent Activity feed, collection metrics. Task-oriented for daily operations.</w:t>
      </w:r>
    </w:p>
    <w:p>
      <w:pPr>
        <w:pStyle w:val="Heading3"/>
        <w:spacing w:after="100" w:before="200"/>
      </w:pPr>
      <w:r>
        <w:rPr>
          <w:color w:val="0F6E56"/>
        </w:rPr>
        <w:t xml:space="preserve">SQL aggregation</w:t>
      </w:r>
    </w:p>
    <w:p>
      <w:pPr>
        <w:spacing w:after="120"/>
      </w:pPr>
      <w:r>
        <w:rPr>
          <w:sz w:val="22"/>
          <w:szCs w:val="22"/>
        </w:rPr>
        <w:t xml:space="preserve">Dashboard KPIs prefer SQL aggregates over client-side computation. Fail-closed on oversized unpaginated report requests (422).</w:t>
      </w:r>
    </w:p>
    <w:p>
      <w:pPr>
        <w:pStyle w:val="Heading2"/>
        <w:spacing w:after="100" w:before="200"/>
      </w:pPr>
      <w:r>
        <w:rPr>
          <w:color w:val="0F6E56"/>
        </w:rPr>
        <w:t xml:space="preserve">6. Analytics events</w:t>
      </w:r>
    </w:p>
    <w:p>
      <w:pPr>
        <w:spacing w:after="120"/>
      </w:pPr>
      <w:r>
        <w:rPr>
          <w:sz w:val="22"/>
          <w:szCs w:val="22"/>
        </w:rPr>
        <w:t xml:space="preserve">Analytics module tracks user interaction events for product improvement. No external APM vendor in production.</w:t>
      </w:r>
    </w:p>
    <w:p>
      <w:pPr>
        <w:pStyle w:val="Heading2"/>
        <w:spacing w:after="100" w:before="200"/>
      </w:pPr>
      <w:r>
        <w:rPr>
          <w:color w:val="0F6E56"/>
        </w:rPr>
        <w:t xml:space="preserve">7. Best practices</w:t>
      </w:r>
    </w:p>
    <w:p>
      <w:pPr>
        <w:spacing w:after="120"/>
      </w:pPr>
      <w:r>
        <w:rPr>
          <w:sz w:val="22"/>
          <w:szCs w:val="22"/>
        </w:rPr>
        <w:t xml:space="preserve">• Run portfolio summary before board meetings</w:t>
      </w:r>
    </w:p>
    <w:p>
      <w:pPr>
        <w:spacing w:after="120"/>
      </w:pPr>
      <w:r>
        <w:rPr>
          <w:sz w:val="22"/>
          <w:szCs w:val="22"/>
        </w:rPr>
        <w:t xml:space="preserve">• Export compliance pack monthly for records</w:t>
      </w:r>
    </w:p>
    <w:p>
      <w:pPr>
        <w:spacing w:after="120"/>
      </w:pPr>
      <w:r>
        <w:rPr>
          <w:sz w:val="22"/>
          <w:szCs w:val="22"/>
        </w:rPr>
        <w:t xml:space="preserve">• Use forecast for cash flow planning</w:t>
      </w:r>
    </w:p>
    <w:p>
      <w:pPr>
        <w:spacing w:after="120"/>
      </w:pPr>
      <w:r>
        <w:rPr>
          <w:sz w:val="22"/>
          <w:szCs w:val="22"/>
        </w:rPr>
        <w:t xml:space="preserve">• Filter reports by district/community for regional reviews</w:t>
      </w:r>
    </w:p>
    <w:p>
      <w:pPr>
        <w:spacing w:after="120"/>
      </w:pPr>
      <w:r>
        <w:rPr>
          <w:sz w:val="22"/>
          <w:szCs w:val="22"/>
        </w:rPr>
        <w:t xml:space="preserve">CONFIDENTIAL — For authorized WILMS personnel, executive review, procurement, and official record keeping only.</w:t>
      </w:r>
    </w:p>
    <w:p>
      <w:pPr>
        <w:spacing w:before="400"/>
      </w:pPr>
      <w:r>
        <w:rPr>
          <w:i/>
          <w:iCs/>
          <w:sz w:val="18"/>
          <w:szCs w:val="18"/>
        </w:rPr>
        <w:t xml:space="preserve">CONFIDENTIAL — For authorized WILMS personnel, executive review, procurement, and official record keeping only.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Reporting &amp; Analytics Book v1.7.3</dc:title>
  <dc:creator>WILMS</dc:creator>
  <dc:description>Official WILMS documentation</dc:description>
  <cp:lastModifiedBy>Un-named</cp:lastModifiedBy>
  <cp:revision>1</cp:revision>
  <dcterms:created xsi:type="dcterms:W3CDTF">2026-08-07T18:07:38.818Z</dcterms:created>
  <dcterms:modified xsi:type="dcterms:W3CDTF">2026-08-07T18:07:38.818Z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