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Registration Officer Manual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Registration Officer Manual</w:t>
      </w:r>
    </w:p>
    <w:p>
      <w:pPr>
        <w:spacing w:after="120"/>
      </w:pPr>
      <w:r>
        <w:rPr>
          <w:sz w:val="22"/>
          <w:szCs w:val="22"/>
        </w:rPr>
        <w:t xml:space="preserve">Version: 1.7.3 Role: Registration Officer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Registration Officers register new borrowers, capture documents and GPS locations, and manage pending registrations until submission for approval.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Login with your officer credentials. You access the Registration Portal with borrower-focused navigation.</w:t>
      </w:r>
    </w:p>
    <w:p>
      <w:pPr>
        <w:pStyle w:val="Heading2"/>
        <w:spacing w:after="100" w:before="200"/>
      </w:pPr>
      <w:r>
        <w:rPr>
          <w:color w:val="0F6E56"/>
        </w:rPr>
        <w:t xml:space="preserve">3. Registering a borrower</w:t>
      </w:r>
    </w:p>
    <w:p>
      <w:pPr>
        <w:pStyle w:val="Heading3"/>
        <w:spacing w:after="100" w:before="200"/>
      </w:pPr>
      <w:r>
        <w:rPr>
          <w:color w:val="0F6E56"/>
        </w:rPr>
        <w:t xml:space="preserve">Step 1: Personal details</w:t>
      </w:r>
    </w:p>
    <w:p>
      <w:pPr>
        <w:spacing w:after="120"/>
      </w:pPr>
      <w:r>
        <w:rPr>
          <w:sz w:val="22"/>
          <w:szCs w:val="22"/>
        </w:rPr>
        <w:t xml:space="preserve">Applications → New Registration. Enter full name, date of birth, phone, address, district, community. All required fields must be completed.</w:t>
      </w:r>
    </w:p>
    <w:p>
      <w:pPr>
        <w:pStyle w:val="Heading3"/>
        <w:spacing w:after="100" w:before="200"/>
      </w:pPr>
      <w:r>
        <w:rPr>
          <w:color w:val="0F6E56"/>
        </w:rPr>
        <w:t xml:space="preserve">Step 2: Document capture</w:t>
      </w:r>
    </w:p>
    <w:p>
      <w:pPr>
        <w:spacing w:after="120"/>
      </w:pPr>
      <w:r>
        <w:rPr>
          <w:sz w:val="22"/>
          <w:szCs w:val="22"/>
        </w:rPr>
        <w:t xml:space="preserve">Upload identity document (national ID, voter ID, or passport). Capture photo. Select signature or thumbprint capture mode.</w:t>
      </w:r>
    </w:p>
    <w:p>
      <w:pPr>
        <w:pStyle w:val="Heading3"/>
        <w:spacing w:after="100" w:before="200"/>
      </w:pPr>
      <w:r>
        <w:rPr>
          <w:color w:val="0F6E56"/>
        </w:rPr>
        <w:t xml:space="preserve">Step 3: GPS verification</w:t>
      </w:r>
    </w:p>
    <w:p>
      <w:pPr>
        <w:spacing w:after="120"/>
      </w:pPr>
      <w:r>
        <w:rPr>
          <w:sz w:val="22"/>
          <w:szCs w:val="22"/>
        </w:rPr>
        <w:t xml:space="preserve">System captures GPS coordinates at registration location. Ensure device location services are enabled.</w:t>
      </w:r>
    </w:p>
    <w:p>
      <w:pPr>
        <w:pStyle w:val="Heading3"/>
        <w:spacing w:after="100" w:before="200"/>
      </w:pPr>
      <w:r>
        <w:rPr>
          <w:color w:val="0F6E56"/>
        </w:rPr>
        <w:t xml:space="preserve">Step 4: Save</w:t>
      </w:r>
    </w:p>
    <w:p>
      <w:pPr>
        <w:spacing w:after="120"/>
      </w:pPr>
      <w:r>
        <w:rPr>
          <w:sz w:val="22"/>
          <w:szCs w:val="22"/>
        </w:rPr>
        <w:t xml:space="preserve">Save as pending registration. You can edit pending registrations before submission.</w:t>
      </w:r>
    </w:p>
    <w:p>
      <w:pPr>
        <w:pStyle w:val="Heading2"/>
        <w:spacing w:after="100" w:before="200"/>
      </w:pPr>
      <w:r>
        <w:rPr>
          <w:color w:val="0F6E56"/>
        </w:rPr>
        <w:t xml:space="preserve">4. Managing pending registrations</w:t>
      </w:r>
    </w:p>
    <w:p>
      <w:pPr>
        <w:spacing w:after="120"/>
      </w:pPr>
      <w:r>
        <w:rPr>
          <w:sz w:val="22"/>
          <w:szCs w:val="22"/>
        </w:rPr>
        <w:t xml:space="preserve">My Registrations shows your pending and submitted registrations with KPI summary. Edit pending items. Submit for approver review when complete.</w:t>
      </w:r>
    </w:p>
    <w:p>
      <w:pPr>
        <w:pStyle w:val="Heading2"/>
        <w:spacing w:after="100" w:before="200"/>
      </w:pPr>
      <w:r>
        <w:rPr>
          <w:color w:val="0F6E56"/>
        </w:rPr>
        <w:t xml:space="preserve">5. Editing borrowers</w:t>
      </w:r>
    </w:p>
    <w:p>
      <w:pPr>
        <w:spacing w:after="120"/>
      </w:pPr>
      <w:r>
        <w:rPr>
          <w:sz w:val="22"/>
          <w:szCs w:val="22"/>
        </w:rPr>
        <w:t xml:space="preserve">You can edit borrower details for pending registrations. Approved borrowers require admin action for changes.</w:t>
      </w:r>
    </w:p>
    <w:p>
      <w:pPr>
        <w:pStyle w:val="Heading2"/>
        <w:spacing w:after="100" w:before="200"/>
      </w:pPr>
      <w:r>
        <w:rPr>
          <w:color w:val="0F6E56"/>
        </w:rPr>
        <w:t xml:space="preserve">6. Printing agreements</w:t>
      </w:r>
    </w:p>
    <w:p>
      <w:pPr>
        <w:spacing w:after="120"/>
      </w:pPr>
      <w:r>
        <w:rPr>
          <w:sz w:val="22"/>
          <w:szCs w:val="22"/>
        </w:rPr>
        <w:t xml:space="preserve">From borrower profile, use Print Agreement for A4 formatted loan agreement document.</w:t>
      </w:r>
    </w:p>
    <w:p>
      <w:pPr>
        <w:pStyle w:val="Heading2"/>
        <w:spacing w:after="100" w:before="200"/>
      </w:pPr>
      <w:r>
        <w:rPr>
          <w:color w:val="0F6E56"/>
        </w:rPr>
        <w:t xml:space="preserve">7. Search</w:t>
      </w:r>
    </w:p>
    <w:p>
      <w:pPr>
        <w:spacing w:after="120"/>
      </w:pPr>
      <w:r>
        <w:rPr>
          <w:sz w:val="22"/>
          <w:szCs w:val="22"/>
        </w:rPr>
        <w:t xml:space="preserve">Global search (navbar) finds borrowers by name, phone, or ID. Results are role-scoped to your accessible records.</w:t>
      </w:r>
    </w:p>
    <w:p>
      <w:pPr>
        <w:pStyle w:val="Heading2"/>
        <w:spacing w:after="100" w:before="200"/>
      </w:pPr>
      <w:r>
        <w:rPr>
          <w:color w:val="0F6E56"/>
        </w:rPr>
        <w:t xml:space="preserve">8. What you cannot do</w:t>
      </w:r>
    </w:p>
    <w:p>
      <w:pPr>
        <w:spacing w:after="120"/>
      </w:pPr>
      <w:r>
        <w:rPr>
          <w:sz w:val="22"/>
          <w:szCs w:val="22"/>
        </w:rPr>
        <w:t xml:space="preserve">• Approve or reject loans</w:t>
      </w:r>
    </w:p>
    <w:p>
      <w:pPr>
        <w:spacing w:after="120"/>
      </w:pPr>
      <w:r>
        <w:rPr>
          <w:sz w:val="22"/>
          <w:szCs w:val="22"/>
        </w:rPr>
        <w:t xml:space="preserve">• Record collections</w:t>
      </w:r>
    </w:p>
    <w:p>
      <w:pPr>
        <w:spacing w:after="120"/>
      </w:pPr>
      <w:r>
        <w:rPr>
          <w:sz w:val="22"/>
          <w:szCs w:val="22"/>
        </w:rPr>
        <w:t xml:space="preserve">• Manage loan pools or users</w:t>
      </w:r>
    </w:p>
    <w:p>
      <w:pPr>
        <w:spacing w:after="120"/>
      </w:pPr>
      <w:r>
        <w:rPr>
          <w:sz w:val="22"/>
          <w:szCs w:val="22"/>
        </w:rPr>
        <w:t xml:space="preserve">• Access executive intelligence or audit log</w:t>
      </w:r>
    </w:p>
    <w:p>
      <w:pPr>
        <w:pStyle w:val="Heading2"/>
        <w:spacing w:after="100" w:before="200"/>
      </w:pPr>
      <w:r>
        <w:rPr>
          <w:color w:val="0F6E56"/>
        </w:rPr>
        <w:t xml:space="preserve">9. Best practices</w:t>
      </w:r>
    </w:p>
    <w:p>
      <w:pPr>
        <w:spacing w:after="120"/>
      </w:pPr>
      <w:r>
        <w:rPr>
          <w:sz w:val="22"/>
          <w:szCs w:val="22"/>
        </w:rPr>
        <w:t xml:space="preserve">• Verify identity documents before submission</w:t>
      </w:r>
    </w:p>
    <w:p>
      <w:pPr>
        <w:spacing w:after="120"/>
      </w:pPr>
      <w:r>
        <w:rPr>
          <w:sz w:val="22"/>
          <w:szCs w:val="22"/>
        </w:rPr>
        <w:t xml:space="preserve">• Capture clear photos in good lighting</w:t>
      </w:r>
    </w:p>
    <w:p>
      <w:pPr>
        <w:spacing w:after="120"/>
      </w:pPr>
      <w:r>
        <w:rPr>
          <w:sz w:val="22"/>
          <w:szCs w:val="22"/>
        </w:rPr>
        <w:t xml:space="preserve">• Confirm GPS accuracy in rural areas</w:t>
      </w:r>
    </w:p>
    <w:p>
      <w:pPr>
        <w:spacing w:after="120"/>
      </w:pPr>
      <w:r>
        <w:rPr>
          <w:sz w:val="22"/>
          <w:szCs w:val="22"/>
        </w:rPr>
        <w:t xml:space="preserve">• Complete all fields before submitting for approval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Officer Manual v1.8.0</dc:title>
  <dc:creator>WILMS</dc:creator>
  <dc:description>Official WILMS documentation</dc:description>
  <cp:lastModifiedBy>Un-named</cp:lastModifiedBy>
  <cp:revision>1</cp:revision>
  <dcterms:created xsi:type="dcterms:W3CDTF">2026-08-13T15:55:05.253Z</dcterms:created>
  <dcterms:modified xsi:type="dcterms:W3CDTF">2026-08-13T15:55:05.253Z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