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Product Dossier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Product Dossier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 — Executive / Partner Distribution</w:t>
      </w:r>
    </w:p>
    <w:p>
      <w:pPr>
        <w:pStyle w:val="Heading2"/>
        <w:spacing w:after="100" w:before="200"/>
      </w:pPr>
      <w:r>
        <w:rPr>
          <w:color w:val="0F6E56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WILMS (Women's Interest-Free Loan Management System) is a production-grade operational platform for managing women's interest-free group lending programmes. Deployed on Vercel with Neon PostgreSQL, WILMS covers the complete lending lifecycle with strong RBAC, financial integrity controls, and board-ready reporting.</w:t>
      </w:r>
    </w:p>
    <w:p>
      <w:pPr>
        <w:spacing w:after="120"/>
      </w:pPr>
      <w:r>
        <w:rPr>
          <w:sz w:val="22"/>
          <w:szCs w:val="22"/>
        </w:rPr>
        <w:t xml:space="preserve">Platform features through v1.7.2. Documentation library through v1.7.3.</w:t>
      </w:r>
    </w:p>
    <w:p>
      <w:pPr>
        <w:pStyle w:val="Heading2"/>
        <w:spacing w:after="100" w:before="200"/>
      </w:pPr>
      <w:r>
        <w:rPr>
          <w:color w:val="0F6E56"/>
        </w:rPr>
        <w:t xml:space="preserve">Product Overview</w:t>
      </w:r>
    </w:p>
    <w:p>
      <w:pPr>
        <w:spacing w:after="120"/>
      </w:pPr>
      <w:r>
        <w:rPr>
          <w:sz w:val="22"/>
          <w:szCs w:val="22"/>
        </w:rPr>
        <w:t xml:space="preserve">Interest-free loan management covering registration, approval, disbursement, weekly collections, reconciliation, expenses, communications, executive intelligence, and audit — designed for NGOs, government programmes, and institutional partners in Ghana and beyond.</w:t>
      </w:r>
    </w:p>
    <w:p>
      <w:pPr>
        <w:pStyle w:val="Heading2"/>
        <w:spacing w:after="100" w:before="200"/>
      </w:pPr>
      <w:r>
        <w:rPr>
          <w:color w:val="0F6E56"/>
        </w:rPr>
        <w:t xml:space="preserve">Problem Statement</w:t>
      </w:r>
    </w:p>
    <w:p>
      <w:pPr>
        <w:spacing w:after="120"/>
      </w:pPr>
      <w:r>
        <w:rPr>
          <w:sz w:val="22"/>
          <w:szCs w:val="22"/>
        </w:rPr>
        <w:t xml:space="preserve">Paper and spreadsheet programmes lack separation of duties, auditability, and timely portfolio visibility. Field-to-HQ cash reconciliation gaps create fraud risk. Leadership lacks real-time KPIs for decision-making.</w:t>
      </w:r>
    </w:p>
    <w:p>
      <w:pPr>
        <w:pStyle w:val="Heading2"/>
        <w:spacing w:after="100" w:before="200"/>
      </w:pPr>
      <w:r>
        <w:rPr>
          <w:color w:val="0F6E56"/>
        </w:rPr>
        <w:t xml:space="preserve">Solution</w:t>
      </w:r>
    </w:p>
    <w:p>
      <w:pPr>
        <w:spacing w:after="120"/>
      </w:pPr>
      <w:r>
        <w:rPr>
          <w:sz w:val="22"/>
          <w:szCs w:val="22"/>
        </w:rPr>
        <w:t xml:space="preserve">Modular TypeScript monolith on Next.js + Vercel + Neon with RBAC, operational pool ledgers, multi-channel notifications, executive intelligence, and contextual export capabilities.</w:t>
      </w:r>
    </w:p>
    <w:p>
      <w:pPr>
        <w:pStyle w:val="Heading2"/>
        <w:spacing w:after="100" w:before="200"/>
      </w:pPr>
      <w:r>
        <w:rPr>
          <w:color w:val="0F6E56"/>
        </w:rPr>
        <w:t xml:space="preserve">Target Users</w:t>
      </w:r>
    </w:p>
    <w:p>
      <w:pPr>
        <w:spacing w:after="120"/>
      </w:pPr>
      <w:r>
        <w:rPr>
          <w:sz w:val="22"/>
          <w:szCs w:val="22"/>
        </w:rPr>
        <w:t xml:space="preserve">Collectors, registration officers, approvers, auditors, super admins, programme directors, NGO boards, procurement committees, and institutional investors.</w:t>
      </w:r>
    </w:p>
    <w:p>
      <w:pPr>
        <w:pStyle w:val="Heading2"/>
        <w:spacing w:after="100" w:before="200"/>
      </w:pPr>
      <w:r>
        <w:rPr>
          <w:color w:val="0F6E56"/>
        </w:rPr>
        <w:t xml:space="preserve">Key Features</w:t>
      </w:r>
    </w:p>
    <w:p>
      <w:pPr>
        <w:spacing w:after="120"/>
      </w:pPr>
      <w:r>
        <w:rPr>
          <w:sz w:val="22"/>
          <w:szCs w:val="22"/>
        </w:rPr>
        <w:t xml:space="preserve">• Borrower lifecycle with document capture and GPS</w:t>
      </w:r>
    </w:p>
    <w:p>
      <w:pPr>
        <w:spacing w:after="120"/>
      </w:pPr>
      <w:r>
        <w:rPr>
          <w:sz w:val="22"/>
          <w:szCs w:val="22"/>
        </w:rPr>
        <w:t xml:space="preserve">• Loan approval with maker-checker controls</w:t>
      </w:r>
    </w:p>
    <w:p>
      <w:pPr>
        <w:spacing w:after="120"/>
      </w:pPr>
      <w:r>
        <w:rPr>
          <w:sz w:val="22"/>
          <w:szCs w:val="22"/>
        </w:rPr>
        <w:t xml:space="preserve">• Capital pool management with hard-stops</w:t>
      </w:r>
    </w:p>
    <w:p>
      <w:pPr>
        <w:spacing w:after="120"/>
      </w:pPr>
      <w:r>
        <w:rPr>
          <w:sz w:val="22"/>
          <w:szCs w:val="22"/>
        </w:rPr>
        <w:t xml:space="preserve">• Field collections with offline support</w:t>
      </w:r>
    </w:p>
    <w:p>
      <w:pPr>
        <w:spacing w:after="120"/>
      </w:pPr>
      <w:r>
        <w:rPr>
          <w:sz w:val="22"/>
          <w:szCs w:val="22"/>
        </w:rPr>
        <w:t xml:space="preserve">• Daily reconciliation and overpayment review</w:t>
      </w:r>
    </w:p>
    <w:p>
      <w:pPr>
        <w:spacing w:after="120"/>
      </w:pPr>
      <w:r>
        <w:rPr>
          <w:sz w:val="22"/>
          <w:szCs w:val="22"/>
        </w:rPr>
        <w:t xml:space="preserve">• Expense tracking with separation of duties</w:t>
      </w:r>
    </w:p>
    <w:p>
      <w:pPr>
        <w:spacing w:after="120"/>
      </w:pPr>
      <w:r>
        <w:rPr>
          <w:sz w:val="22"/>
          <w:szCs w:val="22"/>
        </w:rPr>
        <w:t xml:space="preserve">• Executive intelligence and forecasting</w:t>
      </w:r>
    </w:p>
    <w:p>
      <w:pPr>
        <w:spacing w:after="120"/>
      </w:pPr>
      <w:r>
        <w:rPr>
          <w:sz w:val="22"/>
          <w:szCs w:val="22"/>
        </w:rPr>
        <w:t xml:space="preserve">• Multi-channel notifications</w:t>
      </w:r>
    </w:p>
    <w:p>
      <w:pPr>
        <w:spacing w:after="120"/>
      </w:pPr>
      <w:r>
        <w:rPr>
          <w:sz w:val="22"/>
          <w:szCs w:val="22"/>
        </w:rPr>
        <w:t xml:space="preserve">• Contextual exports (PDF, Excel, CSV, Print)</w:t>
      </w:r>
    </w:p>
    <w:p>
      <w:pPr>
        <w:spacing w:after="120"/>
      </w:pPr>
      <w:r>
        <w:rPr>
          <w:sz w:val="22"/>
          <w:szCs w:val="22"/>
        </w:rPr>
        <w:t xml:space="preserve">• Operations incidents and maintenance windows</w:t>
      </w:r>
    </w:p>
    <w:p>
      <w:pPr>
        <w:pStyle w:val="Heading2"/>
        <w:spacing w:after="100" w:before="200"/>
      </w:pPr>
      <w:r>
        <w:rPr>
          <w:color w:val="0F6E56"/>
        </w:rPr>
        <w:t xml:space="preserve">Architecture</w:t>
      </w:r>
    </w:p>
    <w:p>
      <w:pPr>
        <w:spacing w:after="120"/>
      </w:pPr>
      <w:r>
        <w:rPr>
          <w:sz w:val="22"/>
          <w:szCs w:val="22"/>
        </w:rPr>
        <w:t xml:space="preserve">Next.js 14 App Router hosts @wilms/domain via Route Handlers. Custom HMAC session authentication. Neon PostgreSQL with Drizzle ORM. Optional Redis rate limits.</w:t>
      </w:r>
    </w:p>
    <w:p>
      <w:pPr>
        <w:pStyle w:val="Heading2"/>
        <w:spacing w:after="100" w:before="200"/>
      </w:pPr>
      <w:r>
        <w:rPr>
          <w:color w:val="0F6E56"/>
        </w:rPr>
        <w:t xml:space="preserve">Financial Model</w:t>
      </w:r>
    </w:p>
    <w:p>
      <w:pPr>
        <w:spacing w:after="120"/>
      </w:pPr>
      <w:r>
        <w:rPr>
          <w:sz w:val="22"/>
          <w:szCs w:val="22"/>
        </w:rPr>
        <w:t xml:space="preserve">Integer pesewas money. Pool replenishment, disbursement, repayment, adjustment ledger. Expenses affect operating cash only. Not a statutory GL.</w:t>
      </w:r>
    </w:p>
    <w:p>
      <w:pPr>
        <w:pStyle w:val="Heading2"/>
        <w:spacing w:after="100" w:before="200"/>
      </w:pPr>
      <w:r>
        <w:rPr>
          <w:color w:val="0F6E56"/>
        </w:rPr>
        <w:t xml:space="preserve">Security Model</w:t>
      </w:r>
    </w:p>
    <w:p>
      <w:pPr>
        <w:spacing w:after="120"/>
      </w:pPr>
      <w:r>
        <w:rPr>
          <w:sz w:val="22"/>
          <w:szCs w:val="22"/>
        </w:rPr>
        <w:t xml:space="preserve">HMAC sessions, RBAC with five roles, CSRF protection, audit logging, upload allowlists, rate limiting, confidentiality notices on exports.</w:t>
      </w:r>
    </w:p>
    <w:p>
      <w:pPr>
        <w:pStyle w:val="Heading2"/>
        <w:spacing w:after="100" w:before="200"/>
      </w:pPr>
      <w:r>
        <w:rPr>
          <w:color w:val="0F6E56"/>
        </w:rPr>
        <w:t xml:space="preserve">Deployment</w:t>
      </w:r>
    </w:p>
    <w:p>
      <w:pPr>
        <w:spacing w:after="120"/>
      </w:pPr>
      <w:r>
        <w:rPr>
          <w:sz w:val="22"/>
          <w:szCs w:val="22"/>
        </w:rPr>
        <w:t xml:space="preserve">Vercel production + Neon. Node.js 22.x. Migrations via domain SQL journal. Demo users for evaluation.</w:t>
      </w:r>
    </w:p>
    <w:p>
      <w:pPr>
        <w:pStyle w:val="Heading2"/>
        <w:spacing w:after="100" w:before="200"/>
      </w:pPr>
      <w:r>
        <w:rPr>
          <w:color w:val="0F6E56"/>
        </w:rPr>
        <w:t xml:space="preserve">Certification Status</w:t>
      </w:r>
    </w:p>
    <w:p>
      <w:pPr>
        <w:spacing w:after="120"/>
      </w:pPr>
      <w:r>
        <w:rPr>
          <w:sz w:val="22"/>
          <w:szCs w:val="22"/>
        </w:rPr>
        <w:t xml:space="preserve">Production operational platform. Financial integrity controls verified. Statutory GL and multi-org deferred.</w:t>
      </w:r>
    </w:p>
    <w:p>
      <w:pPr>
        <w:pStyle w:val="Heading2"/>
        <w:spacing w:after="100" w:before="200"/>
      </w:pPr>
      <w:r>
        <w:rPr>
          <w:color w:val="0F6E56"/>
        </w:rPr>
        <w:t xml:space="preserve">Roadmap Summary</w:t>
      </w:r>
    </w:p>
    <w:p>
      <w:pPr>
        <w:spacing w:after="120"/>
      </w:pPr>
      <w:r>
        <w:rPr>
          <w:sz w:val="22"/>
          <w:szCs w:val="22"/>
        </w:rPr>
        <w:t xml:space="preserve">v1.8 Integrations &amp; Payments → v1.9 Enterprise Automation → v2.0 GL &amp; Multi-branch → v3.0 Platform Scale</w:t>
      </w:r>
    </w:p>
    <w:p>
      <w:pPr>
        <w:spacing w:after="120"/>
      </w:pPr>
      <w:r>
        <w:rPr>
          <w:sz w:val="22"/>
          <w:szCs w:val="22"/>
        </w:rPr>
        <w:t xml:space="preserve">v1.8.0 market-readiness (this sprint): guarantor capacity of three, geographic review cascade, official document IDs, branded exports, group-collection GPS exceptions, collector update requests, and mandatory borrower SMS.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Dossier v1.8.0</dc:title>
  <dc:creator>WILMS</dc:creator>
  <dc:description>Official WILMS documentation</dc:description>
  <cp:lastModifiedBy>Un-named</cp:lastModifiedBy>
  <cp:revision>1</cp:revision>
  <dcterms:created xsi:type="dcterms:W3CDTF">2026-08-13T15:55:05.591Z</dcterms:created>
  <dcterms:modified xsi:type="dcterms:W3CDTF">2026-08-13T15:55:05.591Z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