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0F6E56"/>
          <w:sz w:val="56"/>
          <w:szCs w:val="56"/>
        </w:rPr>
        <w:t xml:space="preserve">WILMS</w:t>
      </w:r>
    </w:p>
    <w:p>
      <w:pPr>
        <w:spacing w:after="200"/>
        <w:jc w:val="center"/>
      </w:pPr>
      <w:r>
        <w:rPr>
          <w:sz w:val="22"/>
          <w:szCs w:val="22"/>
        </w:rPr>
        <w:t xml:space="preserve">Women's Interest-Free Loan Management System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Product Dossier — v1.7.2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WILMS v1.7.2 packages a production interest-free loan management platform for market presentation to government, NGO, and institutional partners.</w:t>
      </w:r>
    </w:p>
    <w:p>
      <w:pPr>
        <w:pStyle w:val="Heading1"/>
      </w:pPr>
      <w:r>
        <w:t xml:space="preserve">Product Overview</w:t>
      </w:r>
    </w:p>
    <w:p>
      <w:pPr>
        <w:spacing w:after="200"/>
      </w:pPr>
      <w:r>
        <w:t xml:space="preserve">Women’s Interest-Free Loan Management System covering registration, approval, disbursement, collections, reconciliation, communications, executive intelligence, and operations.</w:t>
      </w:r>
    </w:p>
    <w:p>
      <w:pPr>
        <w:pStyle w:val="Heading1"/>
      </w:pPr>
      <w:r>
        <w:t xml:space="preserve">Problem Statement</w:t>
      </w:r>
    </w:p>
    <w:p>
      <w:pPr>
        <w:spacing w:after="200"/>
      </w:pPr>
      <w:r>
        <w:t xml:space="preserve">Paper and spreadsheet programmes lack separation of duties, auditability, and timely portfolio visibility.</w:t>
      </w:r>
    </w:p>
    <w:p>
      <w:pPr>
        <w:pStyle w:val="Heading1"/>
      </w:pPr>
      <w:r>
        <w:t xml:space="preserve">Solution</w:t>
      </w:r>
    </w:p>
    <w:p>
      <w:pPr>
        <w:spacing w:after="200"/>
      </w:pPr>
      <w:r>
        <w:t xml:space="preserve">A modular TypeScript monolith on Next.js + Vercel + Neon with RBAC, operational ledgers, notifications, and board reporting.</w:t>
      </w:r>
    </w:p>
    <w:p>
      <w:pPr>
        <w:pStyle w:val="Heading1"/>
      </w:pPr>
      <w:r>
        <w:t xml:space="preserve">Target Users</w:t>
      </w:r>
    </w:p>
    <w:p>
      <w:pPr>
        <w:spacing w:after="200"/>
      </w:pPr>
      <w:r>
        <w:t xml:space="preserve">Collectors, officers, approvers, auditors, super admins, directors, MPs, NGO boards, procurement committees, and investors.</w:t>
      </w:r>
    </w:p>
    <w:p>
      <w:pPr>
        <w:pStyle w:val="Heading1"/>
      </w:pPr>
      <w:r>
        <w:t xml:space="preserve">Features</w:t>
      </w:r>
    </w:p>
    <w:p>
      <w:pPr>
        <w:spacing w:after="200"/>
      </w:pPr>
      <w:r>
        <w:t xml:space="preserve">Borrower lifecycle, pools, collections, reconciliation, expenses, communication center, executive intelligence, exports, ops incidents.</w:t>
      </w:r>
    </w:p>
    <w:p>
      <w:pPr>
        <w:pStyle w:val="Heading1"/>
      </w:pPr>
      <w:r>
        <w:t xml:space="preserve">Architecture</w:t>
      </w:r>
    </w:p>
    <w:p>
      <w:pPr>
        <w:spacing w:after="200"/>
      </w:pPr>
      <w:r>
        <w:t xml:space="preserve">Next.js App Router hosts @wilms/domain via Route Handlers; custom HMAC sessions; Neon PostgreSQL; optional Redis rate limits.</w:t>
      </w:r>
    </w:p>
    <w:p>
      <w:pPr>
        <w:pStyle w:val="Heading1"/>
      </w:pPr>
      <w:r>
        <w:t xml:space="preserve">BRD Summary</w:t>
      </w:r>
    </w:p>
    <w:p>
      <w:pPr>
        <w:spacing w:after="200"/>
      </w:pPr>
      <w:r>
        <w:t xml:space="preserve">Interest-free group lending with maker-checker controls, field GPS collections, and programme capital hard-stops.</w:t>
      </w:r>
    </w:p>
    <w:p>
      <w:pPr>
        <w:pStyle w:val="Heading1"/>
      </w:pPr>
      <w:r>
        <w:t xml:space="preserve">Implemented Modules</w:t>
      </w:r>
    </w:p>
    <w:p>
      <w:pPr>
        <w:spacing w:after="200"/>
      </w:pPr>
      <w:r>
        <w:t xml:space="preserve">Core lending through v1.7.0 intelligence/exports/ops; v1.7.2 market packaging and dashboard separation.</w:t>
      </w:r>
    </w:p>
    <w:p>
      <w:pPr>
        <w:pStyle w:val="Heading1"/>
      </w:pPr>
      <w:r>
        <w:t xml:space="preserve">Financial Model</w:t>
      </w:r>
    </w:p>
    <w:p>
      <w:pPr>
        <w:spacing w:after="200"/>
      </w:pPr>
      <w:r>
        <w:t xml:space="preserve">Pesewas integer money; pool replenishment/disbursement/repayment/adjustment; expenses affect operating cash only.</w:t>
      </w:r>
    </w:p>
    <w:p>
      <w:pPr>
        <w:pStyle w:val="Heading1"/>
      </w:pPr>
      <w:r>
        <w:t xml:space="preserve">Security Model</w:t>
      </w:r>
    </w:p>
    <w:p>
      <w:pPr>
        <w:spacing w:after="200"/>
      </w:pPr>
      <w:r>
        <w:t xml:space="preserve">HMAC sessions, RBAC + overrides, CSRF on mutating BFF paths, audit logging, upload allowlists.</w:t>
      </w:r>
    </w:p>
    <w:p>
      <w:pPr>
        <w:pStyle w:val="Heading1"/>
      </w:pPr>
      <w:r>
        <w:t xml:space="preserve">Operations</w:t>
      </w:r>
    </w:p>
    <w:p>
      <w:pPr>
        <w:spacing w:after="200"/>
      </w:pPr>
      <w:r>
        <w:t xml:space="preserve">Health, metrics, cron notifications, incidents, maintenance windows, Neon backups.</w:t>
      </w:r>
    </w:p>
    <w:p>
      <w:pPr>
        <w:pStyle w:val="Heading1"/>
      </w:pPr>
      <w:r>
        <w:t xml:space="preserve">Deployment</w:t>
      </w:r>
    </w:p>
    <w:p>
      <w:pPr>
        <w:spacing w:after="200"/>
      </w:pPr>
      <w:r>
        <w:t xml:space="preserve">Vercel production + Neon; migrations via domain SQL journal.</w:t>
      </w:r>
    </w:p>
    <w:p>
      <w:pPr>
        <w:pStyle w:val="Heading1"/>
      </w:pPr>
      <w:r>
        <w:t xml:space="preserve">Reporting</w:t>
      </w:r>
    </w:p>
    <w:p>
      <w:pPr>
        <w:spacing w:after="200"/>
      </w:pPr>
      <w:r>
        <w:t xml:space="preserve">Operational reports, executive intelligence, forecasting, export center.</w:t>
      </w:r>
    </w:p>
    <w:p>
      <w:pPr>
        <w:pStyle w:val="Heading1"/>
      </w:pPr>
      <w:r>
        <w:t xml:space="preserve">Compliance</w:t>
      </w:r>
    </w:p>
    <w:p>
      <w:pPr>
        <w:spacing w:after="200"/>
      </w:pPr>
      <w:r>
        <w:t xml:space="preserve">Audit trail, SoD on expenses/adjustments, confidentiality notices on exports.</w:t>
      </w:r>
    </w:p>
    <w:p>
      <w:pPr>
        <w:pStyle w:val="Heading1"/>
      </w:pPr>
      <w:r>
        <w:t xml:space="preserve">Testing</w:t>
      </w:r>
    </w:p>
    <w:p>
      <w:pPr>
        <w:spacing w:after="200"/>
      </w:pPr>
      <w:r>
        <w:t xml:space="preserve">Vitest, Playwright, financial/RBAC/notification smokes, version and migration verifies.</w:t>
      </w:r>
    </w:p>
    <w:p>
      <w:pPr>
        <w:pStyle w:val="Heading1"/>
      </w:pPr>
      <w:r>
        <w:t xml:space="preserve">Certification Status</w:t>
      </w:r>
    </w:p>
    <w:p>
      <w:pPr>
        <w:spacing w:after="200"/>
      </w:pPr>
      <w:r>
        <w:t xml:space="preserve">Production operational platform; statutory GL and multi-org deferred.</w:t>
      </w:r>
    </w:p>
    <w:p>
      <w:pPr>
        <w:pStyle w:val="Heading1"/>
      </w:pPr>
      <w:r>
        <w:t xml:space="preserve">Skipped / Deferred</w:t>
      </w:r>
    </w:p>
    <w:p>
      <w:pPr>
        <w:spacing w:after="200"/>
      </w:pPr>
      <w:r>
        <w:t xml:space="preserve">Borrower portal, multi-organization tenancy, statutory GL, native mobile app, deep payment-provider integrations.</w:t>
      </w:r>
    </w:p>
    <w:p>
      <w:pPr>
        <w:pStyle w:val="Heading1"/>
      </w:pPr>
      <w:r>
        <w:t xml:space="preserve">Roadmap</w:t>
      </w:r>
    </w:p>
    <w:p>
      <w:pPr>
        <w:spacing w:after="200"/>
      </w:pPr>
      <w:r>
        <w:t xml:space="preserve">v1.8 Integrations &amp; Payments; v1.9 Enterprise automation; v2.0 General Ledger &amp; multi-branch.</w:t>
      </w:r>
    </w:p>
    <w:p>
      <w:pPr>
        <w:pStyle w:val="Heading1"/>
      </w:pPr>
      <w:r>
        <w:t xml:space="preserve">Technical Appendix</w:t>
      </w:r>
    </w:p>
    <w:p>
      <w:pPr>
        <w:spacing w:after="200"/>
      </w:pPr>
      <w:r>
        <w:t xml:space="preserve">Node 22, Next.js 14, Drizzle, shared-rbac, export engines (PDF/Excel/DOCX), docs/v1.7.2 release pack.</w:t>
      </w:r>
    </w:p>
    <w:p>
      <w:pPr>
        <w:spacing w:before="400"/>
      </w:pPr>
      <w:r>
        <w:rPr>
          <w:i/>
          <w:iCs/>
          <w:sz w:val="18"/>
          <w:szCs w:val="18"/>
        </w:rPr>
        <w:t xml:space="preserve">CONFIDENTIAL — For authorized WILMS personnel, executive review, procurement, and official record keeping only.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WILMS Product Dossier v1.7.2</dc:title>
  <dc:creator>WILMS</dc:creator>
  <dc:description>Official product dossier for market readiness</dc:description>
  <cp:lastModifiedBy>Un-named</cp:lastModifiedBy>
  <cp:revision>1</cp:revision>
  <dcterms:created xsi:type="dcterms:W3CDTF">2026-08-07T16:38:36.837Z</dcterms:created>
  <dcterms:modified xsi:type="dcterms:W3CDTF">2026-08-07T16:38:36.841Z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