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F6E56"/>
          <w:sz w:val="56"/>
          <w:szCs w:val="56"/>
        </w:rPr>
        <w:t xml:space="preserve">WILMS</w:t>
      </w:r>
    </w:p>
    <w:p>
      <w:pPr>
        <w:spacing w:after="200"/>
        <w:jc w:val="center"/>
      </w:pPr>
      <w:r>
        <w:rPr>
          <w:sz w:val="22"/>
          <w:szCs w:val="22"/>
        </w:rPr>
        <w:t xml:space="preserve">Women's Interest-Free Loan Management System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Security &amp; Compliance Book — v1.8.0</w:t>
      </w:r>
    </w:p>
    <w:p>
      <w:pPr>
        <w:pStyle w:val="Heading1"/>
        <w:spacing w:after="100" w:before="200"/>
      </w:pPr>
      <w:r>
        <w:rPr>
          <w:color w:val="0F6E56"/>
        </w:rPr>
        <w:t xml:space="preserve">WILMS Security &amp; Compliance Book</w:t>
      </w:r>
    </w:p>
    <w:p>
      <w:pPr>
        <w:spacing w:after="120"/>
      </w:pPr>
      <w:r>
        <w:rPr>
          <w:sz w:val="22"/>
          <w:szCs w:val="22"/>
        </w:rPr>
        <w:t xml:space="preserve">Version: 1.7.3 Classification: Confidential</w:t>
      </w:r>
    </w:p>
    <w:p>
      <w:pPr>
        <w:pStyle w:val="Heading2"/>
        <w:spacing w:after="100" w:before="200"/>
      </w:pPr>
      <w:r>
        <w:rPr>
          <w:color w:val="0F6E56"/>
        </w:rPr>
        <w:t xml:space="preserve">1. Security overview</w:t>
      </w:r>
    </w:p>
    <w:p>
      <w:pPr>
        <w:spacing w:after="120"/>
      </w:pPr>
      <w:r>
        <w:rPr>
          <w:sz w:val="22"/>
          <w:szCs w:val="22"/>
        </w:rPr>
        <w:t xml:space="preserve">WILMS implements defence-in-depth across authentication, authorization, transport, data, and audit layers. This book documents controls as deployed through v1.7.2.</w:t>
      </w:r>
    </w:p>
    <w:p>
      <w:pPr>
        <w:pStyle w:val="Heading2"/>
        <w:spacing w:after="100" w:before="200"/>
      </w:pPr>
      <w:r>
        <w:rPr>
          <w:color w:val="0F6E56"/>
        </w:rPr>
        <w:t xml:space="preserve">2. Authentication controls</w:t>
      </w:r>
    </w:p>
    <w:p>
      <w:pPr>
        <w:spacing w:after="120"/>
      </w:pPr>
      <w:r>
        <w:rPr>
          <w:sz w:val="22"/>
          <w:szCs w:val="22"/>
        </w:rPr>
        <w:t xml:space="preserve">| Control | Implementation |</w:t>
      </w:r>
    </w:p>
    <w:p>
      <w:pPr>
        <w:spacing w:after="120"/>
      </w:pPr>
      <w:r>
        <w:rPr>
          <w:sz w:val="22"/>
          <w:szCs w:val="22"/>
        </w:rPr>
        <w:t xml:space="preserve">|---------|----------------|</w:t>
      </w:r>
    </w:p>
    <w:p>
      <w:pPr>
        <w:spacing w:after="120"/>
      </w:pPr>
      <w:r>
        <w:rPr>
          <w:sz w:val="22"/>
          <w:szCs w:val="22"/>
        </w:rPr>
        <w:t xml:space="preserve">| Session mechanism | HMAC-signed cookies (wilms_session) |</w:t>
      </w:r>
    </w:p>
    <w:p>
      <w:pPr>
        <w:spacing w:after="120"/>
      </w:pPr>
      <w:r>
        <w:rPr>
          <w:sz w:val="22"/>
          <w:szCs w:val="22"/>
        </w:rPr>
        <w:t xml:space="preserve">| Password storage | bcrypt hashing |</w:t>
      </w:r>
    </w:p>
    <w:p>
      <w:pPr>
        <w:spacing w:after="120"/>
      </w:pPr>
      <w:r>
        <w:rPr>
          <w:sz w:val="22"/>
          <w:szCs w:val="22"/>
        </w:rPr>
        <w:t xml:space="preserve">| Login rate limiting | IP and account level |</w:t>
      </w:r>
    </w:p>
    <w:p>
      <w:pPr>
        <w:spacing w:after="120"/>
      </w:pPr>
      <w:r>
        <w:rPr>
          <w:sz w:val="22"/>
          <w:szCs w:val="22"/>
        </w:rPr>
        <w:t xml:space="preserve">| OTP challenge | Optional second factor on login |</w:t>
      </w:r>
    </w:p>
    <w:p>
      <w:pPr>
        <w:spacing w:after="120"/>
      </w:pPr>
      <w:r>
        <w:rPr>
          <w:sz w:val="22"/>
          <w:szCs w:val="22"/>
        </w:rPr>
        <w:t xml:space="preserve">| Password reset | Time-limited single-use tokens |</w:t>
      </w:r>
    </w:p>
    <w:p>
      <w:pPr>
        <w:spacing w:after="120"/>
      </w:pPr>
      <w:r>
        <w:rPr>
          <w:sz w:val="22"/>
          <w:szCs w:val="22"/>
        </w:rPr>
        <w:t xml:space="preserve">| Session invalidation | Force-logout capability |</w:t>
      </w:r>
    </w:p>
    <w:p>
      <w:pPr>
        <w:spacing w:after="120"/>
      </w:pPr>
      <w:r>
        <w:rPr>
          <w:sz w:val="22"/>
          <w:szCs w:val="22"/>
        </w:rPr>
        <w:t xml:space="preserve">| Demo account guard | Production environment blocks demo logins |</w:t>
      </w:r>
    </w:p>
    <w:p>
      <w:pPr>
        <w:spacing w:after="120"/>
      </w:pPr>
      <w:r>
        <w:rPr>
          <w:sz w:val="22"/>
          <w:szCs w:val="22"/>
        </w:rPr>
        <w:t xml:space="preserve">WILMS does not use Auth.js, OAuth, or JWT bearer tokens for browser sessions.</w:t>
      </w:r>
    </w:p>
    <w:p>
      <w:pPr>
        <w:pStyle w:val="Heading2"/>
        <w:spacing w:after="100" w:before="200"/>
      </w:pPr>
      <w:r>
        <w:rPr>
          <w:color w:val="0F6E56"/>
        </w:rPr>
        <w:t xml:space="preserve">3. Authorization controls</w:t>
      </w:r>
    </w:p>
    <w:p>
      <w:pPr>
        <w:spacing w:after="120"/>
      </w:pPr>
      <w:r>
        <w:rPr>
          <w:sz w:val="22"/>
          <w:szCs w:val="22"/>
        </w:rPr>
        <w:t xml:space="preserve">| Control | Implementation |</w:t>
      </w:r>
    </w:p>
    <w:p>
      <w:pPr>
        <w:spacing w:after="120"/>
      </w:pPr>
      <w:r>
        <w:rPr>
          <w:sz w:val="22"/>
          <w:szCs w:val="22"/>
        </w:rPr>
        <w:t xml:space="preserve">|---------|----------------|</w:t>
      </w:r>
    </w:p>
    <w:p>
      <w:pPr>
        <w:spacing w:after="120"/>
      </w:pPr>
      <w:r>
        <w:rPr>
          <w:sz w:val="22"/>
          <w:szCs w:val="22"/>
        </w:rPr>
        <w:t xml:space="preserve">| RBAC | Five roles via @wilms/shared-rbac |</w:t>
      </w:r>
    </w:p>
    <w:p>
      <w:pPr>
        <w:spacing w:after="120"/>
      </w:pPr>
      <w:r>
        <w:rPr>
          <w:sz w:val="22"/>
          <w:szCs w:val="22"/>
        </w:rPr>
        <w:t xml:space="preserve">| Permission middleware | Domain requirePermission + frontend middleware |</w:t>
      </w:r>
    </w:p>
    <w:p>
      <w:pPr>
        <w:spacing w:after="120"/>
      </w:pPr>
      <w:r>
        <w:rPr>
          <w:sz w:val="22"/>
          <w:szCs w:val="22"/>
        </w:rPr>
        <w:t xml:space="preserve">| Permission overrides | Admin-granted, audited |</w:t>
      </w:r>
    </w:p>
    <w:p>
      <w:pPr>
        <w:spacing w:after="120"/>
      </w:pPr>
      <w:r>
        <w:rPr>
          <w:sz w:val="22"/>
          <w:szCs w:val="22"/>
        </w:rPr>
        <w:t xml:space="preserve">| Route protection | Role-scoped route prefixes |</w:t>
      </w:r>
    </w:p>
    <w:p>
      <w:pPr>
        <w:spacing w:after="120"/>
      </w:pPr>
      <w:r>
        <w:rPr>
          <w:sz w:val="22"/>
          <w:szCs w:val="22"/>
        </w:rPr>
        <w:t xml:space="preserve">| Maker-checker | Expense submit ≠ approve; loan approval separation |</w:t>
      </w:r>
    </w:p>
    <w:p>
      <w:pPr>
        <w:pStyle w:val="Heading2"/>
        <w:spacing w:after="100" w:before="200"/>
      </w:pPr>
      <w:r>
        <w:rPr>
          <w:color w:val="0F6E56"/>
        </w:rPr>
        <w:t xml:space="preserve">4. Transport security</w:t>
      </w:r>
    </w:p>
    <w:p>
      <w:pPr>
        <w:spacing w:after="120"/>
      </w:pPr>
      <w:r>
        <w:rPr>
          <w:sz w:val="22"/>
          <w:szCs w:val="22"/>
        </w:rPr>
        <w:t xml:space="preserve">| Control | Implementation |</w:t>
      </w:r>
    </w:p>
    <w:p>
      <w:pPr>
        <w:spacing w:after="120"/>
      </w:pPr>
      <w:r>
        <w:rPr>
          <w:sz w:val="22"/>
          <w:szCs w:val="22"/>
        </w:rPr>
        <w:t xml:space="preserve">|---------|----------------|</w:t>
      </w:r>
    </w:p>
    <w:p>
      <w:pPr>
        <w:spacing w:after="120"/>
      </w:pPr>
      <w:r>
        <w:rPr>
          <w:sz w:val="22"/>
          <w:szCs w:val="22"/>
        </w:rPr>
        <w:t xml:space="preserve">| HTTPS | Vercel enforced |</w:t>
      </w:r>
    </w:p>
    <w:p>
      <w:pPr>
        <w:spacing w:after="120"/>
      </w:pPr>
      <w:r>
        <w:rPr>
          <w:sz w:val="22"/>
          <w:szCs w:val="22"/>
        </w:rPr>
        <w:t xml:space="preserve">| HSTS | Production enabled (1 year, includeSubDomains) |</w:t>
      </w:r>
    </w:p>
    <w:p>
      <w:pPr>
        <w:spacing w:after="120"/>
      </w:pPr>
      <w:r>
        <w:rPr>
          <w:sz w:val="22"/>
          <w:szCs w:val="22"/>
        </w:rPr>
        <w:t xml:space="preserve">| Helmet headers | CSP, referrer policy, hidePoweredBy |</w:t>
      </w:r>
    </w:p>
    <w:p>
      <w:pPr>
        <w:spacing w:after="120"/>
      </w:pPr>
      <w:r>
        <w:rPr>
          <w:sz w:val="22"/>
          <w:szCs w:val="22"/>
        </w:rPr>
        <w:t xml:space="preserve">| CORS | Restricted to configured origin |</w:t>
      </w:r>
    </w:p>
    <w:p>
      <w:pPr>
        <w:spacing w:after="120"/>
      </w:pPr>
      <w:r>
        <w:rPr>
          <w:sz w:val="22"/>
          <w:szCs w:val="22"/>
        </w:rPr>
        <w:t xml:space="preserve">| CSRF | Mutating BFF path protection |</w:t>
      </w:r>
    </w:p>
    <w:p>
      <w:pPr>
        <w:pStyle w:val="Heading2"/>
        <w:spacing w:after="100" w:before="200"/>
      </w:pPr>
      <w:r>
        <w:rPr>
          <w:color w:val="0F6E56"/>
        </w:rPr>
        <w:t xml:space="preserve">5. Data protection</w:t>
      </w:r>
    </w:p>
    <w:p>
      <w:pPr>
        <w:spacing w:after="120"/>
      </w:pPr>
      <w:r>
        <w:rPr>
          <w:sz w:val="22"/>
          <w:szCs w:val="22"/>
        </w:rPr>
        <w:t xml:space="preserve">| Control | Implementation |</w:t>
      </w:r>
    </w:p>
    <w:p>
      <w:pPr>
        <w:spacing w:after="120"/>
      </w:pPr>
      <w:r>
        <w:rPr>
          <w:sz w:val="22"/>
          <w:szCs w:val="22"/>
        </w:rPr>
        <w:t xml:space="preserve">|---------|----------------|</w:t>
      </w:r>
    </w:p>
    <w:p>
      <w:pPr>
        <w:spacing w:after="120"/>
      </w:pPr>
      <w:r>
        <w:rPr>
          <w:sz w:val="22"/>
          <w:szCs w:val="22"/>
        </w:rPr>
        <w:t xml:space="preserve">| Money integrity | Integer pesewas, no float |</w:t>
      </w:r>
    </w:p>
    <w:p>
      <w:pPr>
        <w:spacing w:after="120"/>
      </w:pPr>
      <w:r>
        <w:rPr>
          <w:sz w:val="22"/>
          <w:szCs w:val="22"/>
        </w:rPr>
        <w:t xml:space="preserve">| Payment immutability | Day-end lock on collections |</w:t>
      </w:r>
    </w:p>
    <w:p>
      <w:pPr>
        <w:spacing w:after="120"/>
      </w:pPr>
      <w:r>
        <w:rPr>
          <w:sz w:val="22"/>
          <w:szCs w:val="22"/>
        </w:rPr>
        <w:t xml:space="preserve">| Pool hard-stop | Cannot over-disburse |</w:t>
      </w:r>
    </w:p>
    <w:p>
      <w:pPr>
        <w:spacing w:after="120"/>
      </w:pPr>
      <w:r>
        <w:rPr>
          <w:sz w:val="22"/>
          <w:szCs w:val="22"/>
        </w:rPr>
        <w:t xml:space="preserve">| Upload allowlist | Restricted file types |</w:t>
      </w:r>
    </w:p>
    <w:p>
      <w:pPr>
        <w:spacing w:after="120"/>
      </w:pPr>
      <w:r>
        <w:rPr>
          <w:sz w:val="22"/>
          <w:szCs w:val="22"/>
        </w:rPr>
        <w:t xml:space="preserve">| Audit log | Append-only, no deletion |</w:t>
      </w:r>
    </w:p>
    <w:p>
      <w:pPr>
        <w:spacing w:after="120"/>
      </w:pPr>
      <w:r>
        <w:rPr>
          <w:sz w:val="22"/>
          <w:szCs w:val="22"/>
        </w:rPr>
        <w:t xml:space="preserve">| Export confidentiality | Footer on all generated exports |</w:t>
      </w:r>
    </w:p>
    <w:p>
      <w:pPr>
        <w:pStyle w:val="Heading2"/>
        <w:spacing w:after="100" w:before="200"/>
      </w:pPr>
      <w:r>
        <w:rPr>
          <w:color w:val="0F6E56"/>
        </w:rPr>
        <w:t xml:space="preserve">6. Rate limiting and abuse prevention</w:t>
      </w:r>
    </w:p>
    <w:p>
      <w:pPr>
        <w:spacing w:after="120"/>
      </w:pPr>
      <w:r>
        <w:rPr>
          <w:sz w:val="22"/>
          <w:szCs w:val="22"/>
        </w:rPr>
        <w:t xml:space="preserve">• Global API: 300 req/min</w:t>
      </w:r>
    </w:p>
    <w:p>
      <w:pPr>
        <w:spacing w:after="120"/>
      </w:pPr>
      <w:r>
        <w:rPr>
          <w:sz w:val="22"/>
          <w:szCs w:val="22"/>
        </w:rPr>
        <w:t xml:space="preserve">• Login-specific limiters</w:t>
      </w:r>
    </w:p>
    <w:p>
      <w:pPr>
        <w:spacing w:after="120"/>
      </w:pPr>
      <w:r>
        <w:rPr>
          <w:sz w:val="22"/>
          <w:szCs w:val="22"/>
        </w:rPr>
        <w:t xml:space="preserve">• Redis-backed when REDIS_URL configured</w:t>
      </w:r>
    </w:p>
    <w:p>
      <w:pPr>
        <w:spacing w:after="120"/>
      </w:pPr>
      <w:r>
        <w:rPr>
          <w:sz w:val="22"/>
          <w:szCs w:val="22"/>
        </w:rPr>
        <w:t xml:space="preserve">• Request ID on all requests for traceability</w:t>
      </w:r>
    </w:p>
    <w:p>
      <w:pPr>
        <w:pStyle w:val="Heading2"/>
        <w:spacing w:after="100" w:before="200"/>
      </w:pPr>
      <w:r>
        <w:rPr>
          <w:color w:val="0F6E56"/>
        </w:rPr>
        <w:t xml:space="preserve">7. Audit and compliance</w:t>
      </w:r>
    </w:p>
    <w:p>
      <w:pPr>
        <w:pStyle w:val="Heading3"/>
        <w:spacing w:after="100" w:before="200"/>
      </w:pPr>
      <w:r>
        <w:rPr>
          <w:color w:val="0F6E56"/>
        </w:rPr>
        <w:t xml:space="preserve">Audit log</w:t>
      </w:r>
    </w:p>
    <w:p>
      <w:pPr>
        <w:spacing w:after="120"/>
      </w:pPr>
      <w:r>
        <w:rPr>
          <w:sz w:val="22"/>
          <w:szCs w:val="22"/>
        </w:rPr>
        <w:t xml:space="preserve">Every privileged action recorded: actor, action, target, timestamp, reason. Immutable. Queryable by auditors.</w:t>
      </w:r>
    </w:p>
    <w:p>
      <w:pPr>
        <w:pStyle w:val="Heading3"/>
        <w:spacing w:after="100" w:before="200"/>
      </w:pPr>
      <w:r>
        <w:rPr>
          <w:color w:val="0F6E56"/>
        </w:rPr>
        <w:t xml:space="preserve">Compliance artefacts</w:t>
      </w:r>
    </w:p>
    <w:p>
      <w:pPr>
        <w:spacing w:after="120"/>
      </w:pPr>
      <w:r>
        <w:rPr>
          <w:sz w:val="22"/>
          <w:szCs w:val="22"/>
        </w:rPr>
        <w:t xml:space="preserve">• Compliance pack export from executive intelligence</w:t>
      </w:r>
    </w:p>
    <w:p>
      <w:pPr>
        <w:spacing w:after="120"/>
      </w:pPr>
      <w:r>
        <w:rPr>
          <w:sz w:val="22"/>
          <w:szCs w:val="22"/>
        </w:rPr>
        <w:t xml:space="preserve">• Branded PDF exports with confidentiality notice</w:t>
      </w:r>
    </w:p>
    <w:p>
      <w:pPr>
        <w:spacing w:after="120"/>
      </w:pPr>
      <w:r>
        <w:rPr>
          <w:sz w:val="22"/>
          <w:szCs w:val="22"/>
        </w:rPr>
        <w:t xml:space="preserve">• Role-scoped report access</w:t>
      </w:r>
    </w:p>
    <w:p>
      <w:pPr>
        <w:spacing w:after="120"/>
      </w:pPr>
      <w:r>
        <w:rPr>
          <w:sz w:val="22"/>
          <w:szCs w:val="22"/>
        </w:rPr>
        <w:t xml:space="preserve">• Separation of duties documentation</w:t>
      </w:r>
    </w:p>
    <w:p>
      <w:pPr>
        <w:pStyle w:val="Heading3"/>
        <w:spacing w:after="100" w:before="200"/>
      </w:pPr>
      <w:r>
        <w:rPr>
          <w:color w:val="0F6E56"/>
        </w:rPr>
        <w:t xml:space="preserve">Data retention</w:t>
      </w:r>
    </w:p>
    <w:p>
      <w:pPr>
        <w:spacing w:after="120"/>
      </w:pPr>
      <w:r>
        <w:rPr>
          <w:sz w:val="22"/>
          <w:szCs w:val="22"/>
        </w:rPr>
        <w:t xml:space="preserve">Audit log retained indefinitely. No automated purge. Partner data processing agreements govern PII handling.</w:t>
      </w:r>
    </w:p>
    <w:p>
      <w:pPr>
        <w:pStyle w:val="Heading2"/>
        <w:spacing w:after="100" w:before="200"/>
      </w:pPr>
      <w:r>
        <w:rPr>
          <w:color w:val="0F6E56"/>
        </w:rPr>
        <w:t xml:space="preserve">8. Residual risks</w:t>
      </w:r>
    </w:p>
    <w:p>
      <w:pPr>
        <w:spacing w:after="120"/>
      </w:pPr>
      <w:r>
        <w:rPr>
          <w:sz w:val="22"/>
          <w:szCs w:val="22"/>
        </w:rPr>
        <w:t xml:space="preserve">| Risk | Severity | Mitigation status |</w:t>
      </w:r>
    </w:p>
    <w:p>
      <w:pPr>
        <w:spacing w:after="120"/>
      </w:pPr>
      <w:r>
        <w:rPr>
          <w:sz w:val="22"/>
          <w:szCs w:val="22"/>
        </w:rPr>
        <w:t xml:space="preserve">|------|----------|-------------------|</w:t>
      </w:r>
    </w:p>
    <w:p>
      <w:pPr>
        <w:spacing w:after="120"/>
      </w:pPr>
      <w:r>
        <w:rPr>
          <w:sz w:val="22"/>
          <w:szCs w:val="22"/>
        </w:rPr>
        <w:t xml:space="preserve">| Adjustment self-approve | Medium | Documented; manual policy |</w:t>
      </w:r>
    </w:p>
    <w:p>
      <w:pPr>
        <w:spacing w:after="120"/>
      </w:pPr>
      <w:r>
        <w:rPr>
          <w:sz w:val="22"/>
          <w:szCs w:val="22"/>
        </w:rPr>
        <w:t xml:space="preserve">| Expense self-post APPROVED edge case | Medium | Maker-checker enforced in UI |</w:t>
      </w:r>
    </w:p>
    <w:p>
      <w:pPr>
        <w:spacing w:after="120"/>
      </w:pPr>
      <w:r>
        <w:rPr>
          <w:sz w:val="22"/>
          <w:szCs w:val="22"/>
        </w:rPr>
        <w:t xml:space="preserve">| Large-history report aggregations | Low | 422 fail-closed on oversized |</w:t>
      </w:r>
    </w:p>
    <w:p>
      <w:pPr>
        <w:spacing w:after="120"/>
      </w:pPr>
      <w:r>
        <w:rPr>
          <w:sz w:val="22"/>
          <w:szCs w:val="22"/>
        </w:rPr>
        <w:t xml:space="preserve">| No statutory GL | N/A by design | Deferred v2.0 |</w:t>
      </w:r>
    </w:p>
    <w:p>
      <w:pPr>
        <w:pStyle w:val="Heading2"/>
        <w:spacing w:after="100" w:before="200"/>
      </w:pPr>
      <w:r>
        <w:rPr>
          <w:color w:val="0F6E56"/>
        </w:rPr>
        <w:t xml:space="preserve">9. Compliance frameworks alignment</w:t>
      </w:r>
    </w:p>
    <w:p>
      <w:pPr>
        <w:spacing w:after="120"/>
      </w:pPr>
      <w:r>
        <w:rPr>
          <w:sz w:val="22"/>
          <w:szCs w:val="22"/>
        </w:rPr>
        <w:t xml:space="preserve">| Framework | Alignment |</w:t>
      </w:r>
    </w:p>
    <w:p>
      <w:pPr>
        <w:spacing w:after="120"/>
      </w:pPr>
      <w:r>
        <w:rPr>
          <w:sz w:val="22"/>
          <w:szCs w:val="22"/>
        </w:rPr>
        <w:t xml:space="preserve">|-----------|-----------|</w:t>
      </w:r>
    </w:p>
    <w:p>
      <w:pPr>
        <w:spacing w:after="120"/>
      </w:pPr>
      <w:r>
        <w:rPr>
          <w:sz w:val="22"/>
          <w:szCs w:val="22"/>
        </w:rPr>
        <w:t xml:space="preserve">| SOC 2 Type II | Partial — controls documented; formal audit not performed |</w:t>
      </w:r>
    </w:p>
    <w:p>
      <w:pPr>
        <w:spacing w:after="120"/>
      </w:pPr>
      <w:r>
        <w:rPr>
          <w:sz w:val="22"/>
          <w:szCs w:val="22"/>
        </w:rPr>
        <w:t xml:space="preserve">| ISO 27001 | Partial — security practices align; not certified |</w:t>
      </w:r>
    </w:p>
    <w:p>
      <w:pPr>
        <w:spacing w:after="120"/>
      </w:pPr>
      <w:r>
        <w:rPr>
          <w:sz w:val="22"/>
          <w:szCs w:val="22"/>
        </w:rPr>
        <w:t xml:space="preserve">| GDPR | Partner DPA required; no automated data subject portal |</w:t>
      </w:r>
    </w:p>
    <w:p>
      <w:pPr>
        <w:spacing w:after="120"/>
      </w:pPr>
      <w:r>
        <w:rPr>
          <w:sz w:val="22"/>
          <w:szCs w:val="22"/>
        </w:rPr>
        <w:t xml:space="preserve">| Ghana DPA | Programme-level compliance via partner agreements |</w:t>
      </w:r>
    </w:p>
    <w:p>
      <w:pPr>
        <w:pStyle w:val="Heading2"/>
        <w:spacing w:after="100" w:before="200"/>
      </w:pPr>
      <w:r>
        <w:rPr>
          <w:color w:val="0F6E56"/>
        </w:rPr>
        <w:t xml:space="preserve">10. Incident response</w:t>
      </w:r>
    </w:p>
    <w:p>
      <w:pPr>
        <w:spacing w:after="120"/>
      </w:pPr>
      <w:r>
        <w:rPr>
          <w:sz w:val="22"/>
          <w:szCs w:val="22"/>
        </w:rPr>
        <w:t xml:space="preserve">See Operations Manual for P1–P4 severity procedures. Security incidents require ops incident creation and programme director notification.</w:t>
      </w:r>
    </w:p>
    <w:p>
      <w:pPr>
        <w:spacing w:after="120"/>
      </w:pPr>
      <w:r>
        <w:rPr>
          <w:sz w:val="22"/>
          <w:szCs w:val="22"/>
        </w:rPr>
        <w:t xml:space="preserve">CONFIDENTIAL — For authorized WILMS personnel, executive review, procurement, and official record keeping only.</w:t>
      </w:r>
    </w:p>
    <w:p>
      <w:pPr>
        <w:spacing w:before="400"/>
      </w:pPr>
      <w:r>
        <w:rPr>
          <w:i/>
          <w:iCs/>
          <w:sz w:val="18"/>
          <w:szCs w:val="18"/>
        </w:rPr>
        <w:t xml:space="preserve">CONFIDENTIAL — For authorized WILMS personnel, executive review, procurement, and official record keeping only.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&amp; Compliance Book v1.8.0</dc:title>
  <dc:creator>WILMS</dc:creator>
  <dc:description>Official WILMS documentation</dc:description>
  <cp:lastModifiedBy>Un-named</cp:lastModifiedBy>
  <cp:revision>1</cp:revision>
  <dcterms:created xsi:type="dcterms:W3CDTF">2026-08-13T15:55:05.444Z</dcterms:created>
  <dcterms:modified xsi:type="dcterms:W3CDTF">2026-08-13T15:55:05.444Z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