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Roadmap — Future Work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Future Work — Roadmap Book</w:t>
      </w:r>
    </w:p>
    <w:p>
      <w:pPr>
        <w:spacing w:after="120"/>
      </w:pPr>
      <w:r>
        <w:rPr>
          <w:sz w:val="22"/>
          <w:szCs w:val="22"/>
        </w:rPr>
        <w:t xml:space="preserve">Version: 1.7.3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Current state</w:t>
      </w:r>
    </w:p>
    <w:p>
      <w:pPr>
        <w:spacing w:after="120"/>
      </w:pPr>
      <w:r>
        <w:rPr>
          <w:sz w:val="22"/>
          <w:szCs w:val="22"/>
        </w:rPr>
        <w:t xml:space="preserve">Platform feature development completed at v1.7.2. Release v1.7.3 delivers the official documentation library and removes standalone Export Center in favour of contextual exports.</w:t>
      </w:r>
    </w:p>
    <w:p>
      <w:pPr>
        <w:pStyle w:val="Heading2"/>
        <w:spacing w:after="100" w:before="200"/>
      </w:pPr>
      <w:r>
        <w:rPr>
          <w:color w:val="0F6E56"/>
        </w:rPr>
        <w:t xml:space="preserve">2. v1.8 — Integrations and payments</w:t>
      </w:r>
    </w:p>
    <w:p>
      <w:pPr>
        <w:spacing w:after="120"/>
      </w:pPr>
      <w:r>
        <w:rPr>
          <w:sz w:val="22"/>
          <w:szCs w:val="22"/>
        </w:rPr>
        <w:t xml:space="preserve">Target: Q4 2026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Mobile money integration | MTN MoMo, Vodafone Cash payment recording | High |</w:t>
      </w:r>
    </w:p>
    <w:p>
      <w:pPr>
        <w:spacing w:after="120"/>
      </w:pPr>
      <w:r>
        <w:rPr>
          <w:sz w:val="22"/>
          <w:szCs w:val="22"/>
        </w:rPr>
        <w:t xml:space="preserve">| Bank statement import | CSV/OFX import for reconciliation | High |</w:t>
      </w:r>
    </w:p>
    <w:p>
      <w:pPr>
        <w:spacing w:after="120"/>
      </w:pPr>
      <w:r>
        <w:rPr>
          <w:sz w:val="22"/>
          <w:szCs w:val="22"/>
        </w:rPr>
        <w:t xml:space="preserve">| Webhook infrastructure | External system event receivers | Medium |</w:t>
      </w:r>
    </w:p>
    <w:p>
      <w:pPr>
        <w:spacing w:after="120"/>
      </w:pPr>
      <w:r>
        <w:rPr>
          <w:sz w:val="22"/>
          <w:szCs w:val="22"/>
        </w:rPr>
        <w:t xml:space="preserve">| OpenAPI specification | Auto-generated from domain routes | Medium |</w:t>
      </w:r>
    </w:p>
    <w:p>
      <w:pPr>
        <w:spacing w:after="120"/>
      </w:pPr>
      <w:r>
        <w:rPr>
          <w:sz w:val="22"/>
          <w:szCs w:val="22"/>
        </w:rPr>
        <w:t xml:space="preserve">| Payment provider sandbox | Test environment for integrations | Medium |</w:t>
      </w:r>
    </w:p>
    <w:p>
      <w:pPr>
        <w:pStyle w:val="Heading2"/>
        <w:spacing w:after="100" w:before="200"/>
      </w:pPr>
      <w:r>
        <w:rPr>
          <w:color w:val="0F6E56"/>
        </w:rPr>
        <w:t xml:space="preserve">3. v1.9 — Enterprise automation</w:t>
      </w:r>
    </w:p>
    <w:p>
      <w:pPr>
        <w:spacing w:after="120"/>
      </w:pPr>
      <w:r>
        <w:rPr>
          <w:sz w:val="22"/>
          <w:szCs w:val="22"/>
        </w:rPr>
        <w:t xml:space="preserve">Target: Q1 2027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Workflow automation rules | Configurable if/then business rules | High |</w:t>
      </w:r>
    </w:p>
    <w:p>
      <w:pPr>
        <w:spacing w:after="120"/>
      </w:pPr>
      <w:r>
        <w:rPr>
          <w:sz w:val="22"/>
          <w:szCs w:val="22"/>
        </w:rPr>
        <w:t xml:space="preserve">| Scheduled report delivery | Email reports on cron schedule | High |</w:t>
      </w:r>
    </w:p>
    <w:p>
      <w:pPr>
        <w:spacing w:after="120"/>
      </w:pPr>
      <w:r>
        <w:rPr>
          <w:sz w:val="22"/>
          <w:szCs w:val="22"/>
        </w:rPr>
        <w:t xml:space="preserve">| Advanced notification routing | Role/condition-based routing | Medium |</w:t>
      </w:r>
    </w:p>
    <w:p>
      <w:pPr>
        <w:spacing w:after="120"/>
      </w:pPr>
      <w:r>
        <w:rPr>
          <w:sz w:val="22"/>
          <w:szCs w:val="22"/>
        </w:rPr>
        <w:t xml:space="preserve">| Bulk import/export tooling | CSV borrower/loan import | Medium |</w:t>
      </w:r>
    </w:p>
    <w:p>
      <w:pPr>
        <w:spacing w:after="120"/>
      </w:pPr>
      <w:r>
        <w:rPr>
          <w:sz w:val="22"/>
          <w:szCs w:val="22"/>
        </w:rPr>
        <w:t xml:space="preserve">| Expense budget limits | Configurable spending caps | Low |</w:t>
      </w:r>
    </w:p>
    <w:p>
      <w:pPr>
        <w:pStyle w:val="Heading2"/>
        <w:spacing w:after="100" w:before="200"/>
      </w:pPr>
      <w:r>
        <w:rPr>
          <w:color w:val="0F6E56"/>
        </w:rPr>
        <w:t xml:space="preserve">4. v2.0 — General ledger and multi-branch</w:t>
      </w:r>
    </w:p>
    <w:p>
      <w:pPr>
        <w:spacing w:after="120"/>
      </w:pPr>
      <w:r>
        <w:rPr>
          <w:sz w:val="22"/>
          <w:szCs w:val="22"/>
        </w:rPr>
        <w:t xml:space="preserve">Target: Q2 2027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Statutory double-entry GL | Full chart of accounts | High |</w:t>
      </w:r>
    </w:p>
    <w:p>
      <w:pPr>
        <w:spacing w:after="120"/>
      </w:pPr>
      <w:r>
        <w:rPr>
          <w:sz w:val="22"/>
          <w:szCs w:val="22"/>
        </w:rPr>
        <w:t xml:space="preserve">| Multi-organisation tenancy | Isolated org data | High |</w:t>
      </w:r>
    </w:p>
    <w:p>
      <w:pPr>
        <w:spacing w:after="120"/>
      </w:pPr>
      <w:r>
        <w:rPr>
          <w:sz w:val="22"/>
          <w:szCs w:val="22"/>
        </w:rPr>
        <w:t xml:space="preserve">| Branch-level pool isolation | Per-branch capital pools | High |</w:t>
      </w:r>
    </w:p>
    <w:p>
      <w:pPr>
        <w:spacing w:after="120"/>
      </w:pPr>
      <w:r>
        <w:rPr>
          <w:sz w:val="22"/>
          <w:szCs w:val="22"/>
        </w:rPr>
        <w:t xml:space="preserve">| Inter-branch transfers | Audited capital movement | Medium |</w:t>
      </w:r>
    </w:p>
    <w:p>
      <w:pPr>
        <w:spacing w:after="120"/>
      </w:pPr>
      <w:r>
        <w:rPr>
          <w:sz w:val="22"/>
          <w:szCs w:val="22"/>
        </w:rPr>
        <w:t xml:space="preserve">| SSO / SAML integration | Enterprise identity provider | Medium |</w:t>
      </w:r>
    </w:p>
    <w:p>
      <w:pPr>
        <w:pStyle w:val="Heading2"/>
        <w:spacing w:after="100" w:before="200"/>
      </w:pPr>
      <w:r>
        <w:rPr>
          <w:color w:val="0F6E56"/>
        </w:rPr>
        <w:t xml:space="preserve">5. v2.5 — Borrower engagement</w:t>
      </w:r>
    </w:p>
    <w:p>
      <w:pPr>
        <w:spacing w:after="120"/>
      </w:pPr>
      <w:r>
        <w:rPr>
          <w:sz w:val="22"/>
          <w:szCs w:val="22"/>
        </w:rPr>
        <w:t xml:space="preserve">Target: Q4 2027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Borrower SMS reminders | Payment due notifications | High |</w:t>
      </w:r>
    </w:p>
    <w:p>
      <w:pPr>
        <w:spacing w:after="120"/>
      </w:pPr>
      <w:r>
        <w:rPr>
          <w:sz w:val="22"/>
          <w:szCs w:val="22"/>
        </w:rPr>
        <w:t xml:space="preserve">| Payment reminder automation | Schedule-based reminders | Medium |</w:t>
      </w:r>
    </w:p>
    <w:p>
      <w:pPr>
        <w:spacing w:after="120"/>
      </w:pPr>
      <w:r>
        <w:rPr>
          <w:sz w:val="22"/>
          <w:szCs w:val="22"/>
        </w:rPr>
        <w:t xml:space="preserve">| Borrower status portal | Read-only borrower self-service | Low |</w:t>
      </w:r>
    </w:p>
    <w:p>
      <w:pPr>
        <w:pStyle w:val="Heading2"/>
        <w:spacing w:after="100" w:before="200"/>
      </w:pPr>
      <w:r>
        <w:rPr>
          <w:color w:val="0F6E56"/>
        </w:rPr>
        <w:t xml:space="preserve">6. v3.0 — Platform scale</w:t>
      </w:r>
    </w:p>
    <w:p>
      <w:pPr>
        <w:spacing w:after="120"/>
      </w:pPr>
      <w:r>
        <w:rPr>
          <w:sz w:val="22"/>
          <w:szCs w:val="22"/>
        </w:rPr>
        <w:t xml:space="preserve">Target: 2028</w:t>
      </w:r>
    </w:p>
    <w:p>
      <w:pPr>
        <w:spacing w:after="120"/>
      </w:pPr>
      <w:r>
        <w:rPr>
          <w:sz w:val="22"/>
          <w:szCs w:val="22"/>
        </w:rPr>
        <w:t xml:space="preserve">| Item | Description | Priority |</w:t>
      </w:r>
    </w:p>
    <w:p>
      <w:pPr>
        <w:spacing w:after="120"/>
      </w:pPr>
      <w:r>
        <w:rPr>
          <w:sz w:val="22"/>
          <w:szCs w:val="22"/>
        </w:rPr>
        <w:t xml:space="preserve">|------|-------------|----------|</w:t>
      </w:r>
    </w:p>
    <w:p>
      <w:pPr>
        <w:spacing w:after="120"/>
      </w:pPr>
      <w:r>
        <w:rPr>
          <w:sz w:val="22"/>
          <w:szCs w:val="22"/>
        </w:rPr>
        <w:t xml:space="preserve">| Multi-region deployment | Geographic redundancy | High |</w:t>
      </w:r>
    </w:p>
    <w:p>
      <w:pPr>
        <w:spacing w:after="120"/>
      </w:pPr>
      <w:r>
        <w:rPr>
          <w:sz w:val="22"/>
          <w:szCs w:val="22"/>
        </w:rPr>
        <w:t xml:space="preserve">| ML risk scoring | Predictive default indicators | Medium |</w:t>
      </w:r>
    </w:p>
    <w:p>
      <w:pPr>
        <w:spacing w:after="120"/>
      </w:pPr>
      <w:r>
        <w:rPr>
          <w:sz w:val="22"/>
          <w:szCs w:val="22"/>
        </w:rPr>
        <w:t xml:space="preserve">| Localized UI | Twi, Ga, Ewe language support | Medium |</w:t>
      </w:r>
    </w:p>
    <w:p>
      <w:pPr>
        <w:spacing w:after="120"/>
      </w:pPr>
      <w:r>
        <w:rPr>
          <w:sz w:val="22"/>
          <w:szCs w:val="22"/>
        </w:rPr>
        <w:t xml:space="preserve">| Partner API marketplace | Third-party integration ecosystem | Low |</w:t>
      </w:r>
    </w:p>
    <w:p>
      <w:pPr>
        <w:spacing w:after="120"/>
      </w:pPr>
      <w:r>
        <w:rPr>
          <w:sz w:val="22"/>
          <w:szCs w:val="22"/>
        </w:rPr>
        <w:t xml:space="preserve">| Native mobile app | iOS/Android if PWA insufficient | Low |</w:t>
      </w:r>
    </w:p>
    <w:p>
      <w:pPr>
        <w:pStyle w:val="Heading2"/>
        <w:spacing w:after="100" w:before="200"/>
      </w:pPr>
      <w:r>
        <w:rPr>
          <w:color w:val="0F6E56"/>
        </w:rPr>
        <w:t xml:space="preserve">7. Deferred items with rationale</w:t>
      </w:r>
    </w:p>
    <w:p>
      <w:pPr>
        <w:spacing w:after="120"/>
      </w:pPr>
      <w:r>
        <w:rPr>
          <w:sz w:val="22"/>
          <w:szCs w:val="22"/>
        </w:rPr>
        <w:t xml:space="preserve">| Item | Deferred to | Rationale |</w:t>
      </w:r>
    </w:p>
    <w:p>
      <w:pPr>
        <w:spacing w:after="120"/>
      </w:pPr>
      <w:r>
        <w:rPr>
          <w:sz w:val="22"/>
          <w:szCs w:val="22"/>
        </w:rPr>
        <w:t xml:space="preserve">|------|-------------|-----------|</w:t>
      </w:r>
    </w:p>
    <w:p>
      <w:pPr>
        <w:spacing w:after="120"/>
      </w:pPr>
      <w:r>
        <w:rPr>
          <w:sz w:val="22"/>
          <w:szCs w:val="22"/>
        </w:rPr>
        <w:t xml:space="preserve">| Borrower portal | v2.5 | HQ-operated model sufficient |</w:t>
      </w:r>
    </w:p>
    <w:p>
      <w:pPr>
        <w:spacing w:after="120"/>
      </w:pPr>
      <w:r>
        <w:rPr>
          <w:sz w:val="22"/>
          <w:szCs w:val="22"/>
        </w:rPr>
        <w:t xml:space="preserve">| Multi-org tenancy | v2.0 | Single-org deployment meets current partners |</w:t>
      </w:r>
    </w:p>
    <w:p>
      <w:pPr>
        <w:spacing w:after="120"/>
      </w:pPr>
      <w:r>
        <w:rPr>
          <w:sz w:val="22"/>
          <w:szCs w:val="22"/>
        </w:rPr>
        <w:t xml:space="preserve">| Statutory GL | v2.0 | Pool ledger meets programme needs |</w:t>
      </w:r>
    </w:p>
    <w:p>
      <w:pPr>
        <w:spacing w:after="120"/>
      </w:pPr>
      <w:r>
        <w:rPr>
          <w:sz w:val="22"/>
          <w:szCs w:val="22"/>
        </w:rPr>
        <w:t xml:space="preserve">| Native mobile | v3.0 | PWA + field shell adequate |</w:t>
      </w:r>
    </w:p>
    <w:p>
      <w:pPr>
        <w:spacing w:after="120"/>
      </w:pPr>
      <w:r>
        <w:rPr>
          <w:sz w:val="22"/>
          <w:szCs w:val="22"/>
        </w:rPr>
        <w:t xml:space="preserve">| Redis job queue | v1.9 | Vercel Cron sufficient at scale |</w:t>
      </w:r>
    </w:p>
    <w:p>
      <w:pPr>
        <w:spacing w:after="120"/>
      </w:pPr>
      <w:r>
        <w:rPr>
          <w:sz w:val="22"/>
          <w:szCs w:val="22"/>
        </w:rPr>
        <w:t xml:space="preserve">| Standalone Export Center | Removed v1.7.3 | Contextual exports reduce duplication |</w:t>
      </w:r>
    </w:p>
    <w:p>
      <w:pPr>
        <w:spacing w:after="120"/>
      </w:pPr>
      <w:r>
        <w:rPr>
          <w:sz w:val="22"/>
          <w:szCs w:val="22"/>
        </w:rPr>
        <w:t xml:space="preserve">| Full shadcn migration | Ongoing | Incremental per route |</w:t>
      </w:r>
    </w:p>
    <w:p>
      <w:pPr>
        <w:spacing w:after="120"/>
      </w:pPr>
      <w:r>
        <w:rPr>
          <w:sz w:val="22"/>
          <w:szCs w:val="22"/>
        </w:rPr>
        <w:t xml:space="preserve">| WCAG full audit | Ongoing | Remediations per QA unit |</w:t>
      </w:r>
    </w:p>
    <w:p>
      <w:pPr>
        <w:spacing w:after="120"/>
      </w:pPr>
      <w:r>
        <w:rPr>
          <w:sz w:val="22"/>
          <w:szCs w:val="22"/>
        </w:rPr>
        <w:t xml:space="preserve">| Localized guides | v2.x | English first |</w:t>
      </w:r>
    </w:p>
    <w:p>
      <w:pPr>
        <w:pStyle w:val="Heading2"/>
        <w:spacing w:after="100" w:before="200"/>
      </w:pPr>
      <w:r>
        <w:rPr>
          <w:color w:val="0F6E56"/>
        </w:rPr>
        <w:t xml:space="preserve">8. Documentation roadmap</w:t>
      </w:r>
    </w:p>
    <w:p>
      <w:pPr>
        <w:spacing w:after="120"/>
      </w:pPr>
      <w:r>
        <w:rPr>
          <w:sz w:val="22"/>
          <w:szCs w:val="22"/>
        </w:rPr>
        <w:t xml:space="preserve">| Item | Version | Status |</w:t>
      </w:r>
    </w:p>
    <w:p>
      <w:pPr>
        <w:spacing w:after="120"/>
      </w:pPr>
      <w:r>
        <w:rPr>
          <w:sz w:val="22"/>
          <w:szCs w:val="22"/>
        </w:rPr>
        <w:t xml:space="preserve">|------|---------|--------|</w:t>
      </w:r>
    </w:p>
    <w:p>
      <w:pPr>
        <w:spacing w:after="120"/>
      </w:pPr>
      <w:r>
        <w:rPr>
          <w:sz w:val="22"/>
          <w:szCs w:val="22"/>
        </w:rPr>
        <w:t xml:space="preserve">| Official documentation library | v1.7.3 | Complete |</w:t>
      </w:r>
    </w:p>
    <w:p>
      <w:pPr>
        <w:spacing w:after="120"/>
      </w:pPr>
      <w:r>
        <w:rPr>
          <w:sz w:val="22"/>
          <w:szCs w:val="22"/>
        </w:rPr>
        <w:t xml:space="preserve">| Static docs web portal | v1.8 | Planned |</w:t>
      </w:r>
    </w:p>
    <w:p>
      <w:pPr>
        <w:spacing w:after="120"/>
      </w:pPr>
      <w:r>
        <w:rPr>
          <w:sz w:val="22"/>
          <w:szCs w:val="22"/>
        </w:rPr>
        <w:t xml:space="preserve">| Interactive API explorer | v1.8 | Planned |</w:t>
      </w:r>
    </w:p>
    <w:p>
      <w:pPr>
        <w:spacing w:after="120"/>
      </w:pPr>
      <w:r>
        <w:rPr>
          <w:sz w:val="22"/>
          <w:szCs w:val="22"/>
        </w:rPr>
        <w:t xml:space="preserve">| Video walkthroughs | v1.9 | Planned |</w:t>
      </w:r>
    </w:p>
    <w:p>
      <w:pPr>
        <w:spacing w:after="120"/>
      </w:pPr>
      <w:r>
        <w:rPr>
          <w:sz w:val="22"/>
          <w:szCs w:val="22"/>
        </w:rPr>
        <w:t xml:space="preserve">| Localized manuals | v2.x | Planned |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Roadmap — Future Work v1.7.3</dc:title>
  <dc:creator>WILMS</dc:creator>
  <dc:description>Official WILMS documentation</dc:description>
  <cp:lastModifiedBy>Un-named</cp:lastModifiedBy>
  <cp:revision>1</cp:revision>
  <dcterms:created xsi:type="dcterms:W3CDTF">2026-08-07T18:07:38.859Z</dcterms:created>
  <dcterms:modified xsi:type="dcterms:W3CDTF">2026-08-07T18:07:38.859Z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