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2127D7">
      <w:pPr>
        <w:autoSpaceDE w:val="0"/>
        <w:autoSpaceDN w:val="0"/>
        <w:adjustRightInd w:val="0"/>
        <w:ind w:firstLine="0" w:firstLineChars="0"/>
        <w:jc w:val="center"/>
      </w:pPr>
    </w:p>
    <w:p w14:paraId="2956A071">
      <w:pPr>
        <w:autoSpaceDE w:val="0"/>
        <w:autoSpaceDN w:val="0"/>
        <w:adjustRightInd w:val="0"/>
        <w:ind w:firstLine="0" w:firstLineChars="0"/>
        <w:jc w:val="center"/>
      </w:pPr>
    </w:p>
    <w:p w14:paraId="14FB8AF6">
      <w:pPr>
        <w:autoSpaceDE w:val="0"/>
        <w:autoSpaceDN w:val="0"/>
        <w:adjustRightInd w:val="0"/>
        <w:ind w:firstLine="0" w:firstLineChars="0"/>
        <w:jc w:val="center"/>
        <w:rPr>
          <w:rFonts w:ascii="宋体" w:cs="宋体"/>
          <w:kern w:val="0"/>
          <w:sz w:val="20"/>
          <w:szCs w:val="20"/>
          <w:lang w:val="zh-CN"/>
        </w:rPr>
      </w:pPr>
      <w:r>
        <w:drawing>
          <wp:inline distT="0" distB="0" distL="114300" distR="114300">
            <wp:extent cx="3312160" cy="555625"/>
            <wp:effectExtent l="0" t="0" r="2540" b="15875"/>
            <wp:docPr id="1" name="图片 1" descr="nwsuaf_logo_n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nwsuaf_logo_new"/>
                    <pic:cNvPicPr>
                      <a:picLocks noChangeAspect="1"/>
                    </pic:cNvPicPr>
                  </pic:nvPicPr>
                  <pic:blipFill>
                    <a:blip r:embed="rId13"/>
                    <a:stretch>
                      <a:fillRect/>
                    </a:stretch>
                  </pic:blipFill>
                  <pic:spPr>
                    <a:xfrm>
                      <a:off x="0" y="0"/>
                      <a:ext cx="3312160" cy="555625"/>
                    </a:xfrm>
                    <a:prstGeom prst="rect">
                      <a:avLst/>
                    </a:prstGeom>
                    <a:noFill/>
                    <a:ln>
                      <a:noFill/>
                    </a:ln>
                  </pic:spPr>
                </pic:pic>
              </a:graphicData>
            </a:graphic>
          </wp:inline>
        </w:drawing>
      </w:r>
    </w:p>
    <w:p w14:paraId="2A4D307A">
      <w:pPr>
        <w:autoSpaceDE w:val="0"/>
        <w:autoSpaceDN w:val="0"/>
        <w:adjustRightInd w:val="0"/>
        <w:ind w:firstLine="480"/>
        <w:jc w:val="center"/>
        <w:rPr>
          <w:szCs w:val="21"/>
        </w:rPr>
      </w:pPr>
    </w:p>
    <w:p w14:paraId="19F8561D">
      <w:pPr>
        <w:autoSpaceDE w:val="0"/>
        <w:autoSpaceDN w:val="0"/>
        <w:adjustRightInd w:val="0"/>
        <w:ind w:firstLine="0" w:firstLineChars="0"/>
        <w:jc w:val="center"/>
        <w:rPr>
          <w:rFonts w:ascii="楷体_GB2312" w:eastAsia="楷体_GB2312" w:cs="宋体"/>
          <w:b/>
          <w:bCs/>
          <w:sz w:val="50"/>
          <w:szCs w:val="52"/>
        </w:rPr>
      </w:pPr>
      <w:r>
        <w:rPr>
          <w:rFonts w:hint="eastAsia" w:ascii="楷体_GB2312" w:eastAsia="楷体_GB2312" w:cs="宋体"/>
          <w:b/>
          <w:bCs/>
          <w:sz w:val="50"/>
          <w:szCs w:val="52"/>
        </w:rPr>
        <w:t>《软件过程管理》实验</w:t>
      </w:r>
    </w:p>
    <w:p w14:paraId="1DB4380E">
      <w:pPr>
        <w:autoSpaceDE w:val="0"/>
        <w:autoSpaceDN w:val="0"/>
        <w:adjustRightInd w:val="0"/>
        <w:ind w:firstLine="0" w:firstLineChars="0"/>
        <w:jc w:val="center"/>
        <w:rPr>
          <w:rFonts w:ascii="楷体_GB2312" w:eastAsia="楷体_GB2312"/>
          <w:b/>
          <w:bCs/>
          <w:sz w:val="30"/>
          <w:szCs w:val="32"/>
        </w:rPr>
      </w:pPr>
    </w:p>
    <w:p w14:paraId="30D7E598">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项目预算计划</w:t>
      </w:r>
    </w:p>
    <w:p w14:paraId="39E99BF7">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&lt;图书管理系统&gt;</w:t>
      </w:r>
    </w:p>
    <w:p w14:paraId="6BA351EB">
      <w:pPr>
        <w:autoSpaceDE w:val="0"/>
        <w:autoSpaceDN w:val="0"/>
        <w:adjustRightInd w:val="0"/>
        <w:ind w:firstLine="0" w:firstLineChars="0"/>
        <w:jc w:val="center"/>
        <w:rPr>
          <w:rFonts w:ascii="黑体" w:eastAsia="黑体" w:cs="宋体"/>
          <w:bCs/>
          <w:sz w:val="44"/>
          <w:szCs w:val="44"/>
        </w:rPr>
      </w:pPr>
      <w:r>
        <w:rPr>
          <w:rFonts w:hint="eastAsia" w:ascii="黑体" w:eastAsia="黑体" w:cs="宋体"/>
          <w:bCs/>
          <w:sz w:val="44"/>
          <w:szCs w:val="44"/>
        </w:rPr>
        <w:t>版本1.0</w:t>
      </w:r>
    </w:p>
    <w:p w14:paraId="5A789F0B">
      <w:pPr>
        <w:autoSpaceDE w:val="0"/>
        <w:autoSpaceDN w:val="0"/>
        <w:adjustRightInd w:val="0"/>
        <w:ind w:firstLine="0" w:firstLineChars="0"/>
        <w:jc w:val="center"/>
        <w:rPr>
          <w:rFonts w:ascii="黑体" w:eastAsia="黑体" w:cs="宋体"/>
          <w:bCs/>
          <w:sz w:val="44"/>
          <w:szCs w:val="44"/>
          <w:lang w:val="zh-CN"/>
        </w:rPr>
      </w:pPr>
    </w:p>
    <w:p w14:paraId="32EDC1C3">
      <w:pPr>
        <w:autoSpaceDE w:val="0"/>
        <w:autoSpaceDN w:val="0"/>
        <w:adjustRightInd w:val="0"/>
        <w:ind w:firstLine="0" w:firstLineChars="0"/>
        <w:rPr>
          <w:rFonts w:ascii="黑体" w:eastAsia="黑体" w:cs="宋体"/>
          <w:bCs/>
          <w:sz w:val="44"/>
          <w:szCs w:val="44"/>
          <w:lang w:val="zh-CN"/>
        </w:rPr>
      </w:pPr>
    </w:p>
    <w:p w14:paraId="6D274FC4">
      <w:pPr>
        <w:autoSpaceDE w:val="0"/>
        <w:autoSpaceDN w:val="0"/>
        <w:adjustRightInd w:val="0"/>
        <w:ind w:firstLine="0" w:firstLineChars="0"/>
        <w:rPr>
          <w:rFonts w:ascii="宋体" w:cs="宋体"/>
          <w:b/>
          <w:bCs/>
          <w:sz w:val="44"/>
          <w:szCs w:val="44"/>
          <w:lang w:val="zh-CN"/>
        </w:rPr>
      </w:pPr>
    </w:p>
    <w:p w14:paraId="11DACDB6">
      <w:pPr>
        <w:autoSpaceDE w:val="0"/>
        <w:autoSpaceDN w:val="0"/>
        <w:adjustRightInd w:val="0"/>
        <w:ind w:firstLine="0" w:firstLineChars="0"/>
        <w:rPr>
          <w:rFonts w:ascii="宋体" w:cs="宋体"/>
          <w:b/>
          <w:bCs/>
          <w:sz w:val="44"/>
          <w:szCs w:val="44"/>
          <w:lang w:val="zh-CN"/>
        </w:rPr>
      </w:pPr>
    </w:p>
    <w:p w14:paraId="115D5C20">
      <w:pPr>
        <w:autoSpaceDE w:val="0"/>
        <w:autoSpaceDN w:val="0"/>
        <w:adjustRightInd w:val="0"/>
        <w:ind w:firstLine="0" w:firstLineChars="0"/>
        <w:rPr>
          <w:rFonts w:cs="宋体"/>
          <w:b/>
          <w:bCs/>
          <w:sz w:val="10"/>
          <w:szCs w:val="10"/>
          <w:lang w:val="zh-CN"/>
        </w:rPr>
      </w:pPr>
    </w:p>
    <w:p w14:paraId="1543FA05">
      <w:pPr>
        <w:ind w:firstLine="480"/>
        <w:rPr>
          <w:rFonts w:hint="eastAsia" w:eastAsia="宋体"/>
          <w:lang w:eastAsia="zh-CN"/>
        </w:rPr>
      </w:pPr>
      <w:r>
        <w:rPr>
          <w:rFonts w:hint="eastAsia"/>
        </w:rPr>
        <w:t>项目组成员：</w:t>
      </w:r>
      <w:r>
        <w:rPr>
          <w:rFonts w:hint="eastAsia"/>
          <w:lang w:val="en-US" w:eastAsia="zh-CN"/>
        </w:rPr>
        <w:t xml:space="preserve"> </w:t>
      </w:r>
      <w:bookmarkStart w:id="8" w:name="_GoBack"/>
      <w:bookmarkEnd w:id="8"/>
    </w:p>
    <w:p w14:paraId="6E2D93A6">
      <w:pPr>
        <w:ind w:firstLine="480"/>
      </w:pPr>
    </w:p>
    <w:p w14:paraId="22219281">
      <w:pPr>
        <w:ind w:firstLine="480"/>
      </w:pPr>
    </w:p>
    <w:p w14:paraId="420B7F60">
      <w:pPr>
        <w:ind w:firstLine="480"/>
      </w:pPr>
    </w:p>
    <w:p w14:paraId="53512AE7">
      <w:pPr>
        <w:ind w:firstLine="480"/>
      </w:pPr>
    </w:p>
    <w:p w14:paraId="2F8AA7B8">
      <w:pPr>
        <w:ind w:firstLine="480"/>
      </w:pPr>
    </w:p>
    <w:p w14:paraId="167C6CE5">
      <w:pPr>
        <w:ind w:firstLine="0" w:firstLineChars="0"/>
      </w:pPr>
    </w:p>
    <w:p w14:paraId="3A3D528F">
      <w:pPr>
        <w:ind w:firstLine="0" w:firstLineChars="0"/>
      </w:pPr>
    </w:p>
    <w:p w14:paraId="4ADDE0C4">
      <w:pPr>
        <w:ind w:firstLine="480"/>
      </w:pPr>
    </w:p>
    <w:p w14:paraId="7F004BFD">
      <w:pPr>
        <w:ind w:firstLine="480"/>
      </w:pPr>
    </w:p>
    <w:p w14:paraId="7A97CD80">
      <w:pPr>
        <w:ind w:firstLine="480"/>
      </w:pPr>
    </w:p>
    <w:p w14:paraId="5642844A">
      <w:pPr>
        <w:ind w:firstLine="480"/>
      </w:pPr>
    </w:p>
    <w:p w14:paraId="6B865516">
      <w:pPr>
        <w:ind w:firstLine="480"/>
      </w:pPr>
    </w:p>
    <w:p w14:paraId="56768242">
      <w:pPr>
        <w:ind w:firstLine="480"/>
      </w:pPr>
    </w:p>
    <w:p w14:paraId="7EF86113">
      <w:pPr>
        <w:ind w:firstLine="480"/>
        <w:jc w:val="center"/>
      </w:pPr>
      <w:r>
        <w:rPr>
          <w:rFonts w:hint="eastAsia"/>
        </w:rPr>
        <w:t>陕西 杨凌</w:t>
      </w:r>
    </w:p>
    <w:p w14:paraId="19D09B02">
      <w:pPr>
        <w:ind w:firstLine="480"/>
        <w:jc w:val="center"/>
      </w:pPr>
      <w:r>
        <w:t>20</w:t>
      </w:r>
      <w:r>
        <w:rPr>
          <w:rFonts w:hint="eastAsia"/>
        </w:rPr>
        <w:t>24</w:t>
      </w:r>
    </w:p>
    <w:p w14:paraId="5F6CBA4F">
      <w:pPr>
        <w:ind w:firstLine="480"/>
      </w:pPr>
    </w:p>
    <w:p w14:paraId="0F86C121">
      <w:pPr>
        <w:pStyle w:val="4"/>
        <w:ind w:firstLine="643"/>
        <w:jc w:val="center"/>
        <w:sectPr>
          <w:headerReference r:id="rId7" w:type="first"/>
          <w:footerReference r:id="rId10" w:type="first"/>
          <w:headerReference r:id="rId5" w:type="default"/>
          <w:footerReference r:id="rId8" w:type="default"/>
          <w:headerReference r:id="rId6" w:type="even"/>
          <w:footerReference r:id="rId9" w:type="even"/>
          <w:pgSz w:w="11906" w:h="16838"/>
          <w:pgMar w:top="1440" w:right="1800" w:bottom="1440" w:left="1800" w:header="851" w:footer="992" w:gutter="0"/>
          <w:cols w:space="425" w:num="1"/>
          <w:docGrid w:type="lines" w:linePitch="312" w:charSpace="0"/>
        </w:sectPr>
      </w:pPr>
    </w:p>
    <w:sdt>
      <w:sdtPr>
        <w:rPr>
          <w:rFonts w:ascii="宋体" w:hAnsi="宋体"/>
          <w:sz w:val="21"/>
        </w:rPr>
        <w:id w:val="147469218"/>
        <w:docPartObj>
          <w:docPartGallery w:val="Table of Contents"/>
          <w:docPartUnique/>
        </w:docPartObj>
      </w:sdtPr>
      <w:sdtEndPr>
        <w:rPr>
          <w:rFonts w:ascii="宋体" w:hAnsi="宋体"/>
          <w:sz w:val="21"/>
        </w:rPr>
      </w:sdtEndPr>
      <w:sdtContent>
        <w:p w14:paraId="0DA6F58E">
          <w:pPr>
            <w:ind w:firstLine="0" w:firstLineChars="0"/>
            <w:jc w:val="center"/>
            <w:rPr>
              <w:b/>
              <w:bCs/>
            </w:rPr>
          </w:pPr>
          <w:r>
            <w:rPr>
              <w:rFonts w:ascii="宋体" w:hAnsi="宋体"/>
              <w:b/>
              <w:bCs/>
            </w:rPr>
            <w:t>目录</w:t>
          </w:r>
        </w:p>
        <w:p w14:paraId="29EC95AA">
          <w:pPr>
            <w:pStyle w:val="8"/>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TOC \o "1-3" \h \u </w:instrText>
          </w:r>
          <w:r>
            <w:fldChar w:fldCharType="separate"/>
          </w:r>
          <w:r>
            <w:fldChar w:fldCharType="begin"/>
          </w:r>
          <w:r>
            <w:instrText xml:space="preserve"> HYPERLINK \l "_Toc165399266" </w:instrText>
          </w:r>
          <w:r>
            <w:fldChar w:fldCharType="separate"/>
          </w:r>
          <w:r>
            <w:rPr>
              <w:rStyle w:val="11"/>
              <w:rFonts w:ascii="宋体" w:hAnsi="宋体" w:cs="宋体"/>
            </w:rPr>
            <w:t>1.</w:t>
          </w:r>
          <w:r>
            <w:rPr>
              <w:rFonts w:asciiTheme="minorHAnsi" w:hAnsiTheme="minorHAnsi" w:eastAsiaTheme="minorEastAsia" w:cstheme="minorBidi"/>
              <w:sz w:val="21"/>
              <w:szCs w:val="22"/>
            </w:rPr>
            <w:tab/>
          </w:r>
          <w:r>
            <w:rPr>
              <w:rStyle w:val="11"/>
              <w:rFonts w:hint="eastAsia"/>
            </w:rPr>
            <w:t>项目简介</w:t>
          </w:r>
          <w:r>
            <w:tab/>
          </w:r>
          <w:r>
            <w:fldChar w:fldCharType="begin"/>
          </w:r>
          <w:r>
            <w:instrText xml:space="preserve"> PAGEREF _Toc165399266 \h </w:instrText>
          </w:r>
          <w:r>
            <w:fldChar w:fldCharType="separate"/>
          </w:r>
          <w:r>
            <w:t>3</w:t>
          </w:r>
          <w:r>
            <w:fldChar w:fldCharType="end"/>
          </w:r>
          <w:r>
            <w:fldChar w:fldCharType="end"/>
          </w:r>
        </w:p>
        <w:p w14:paraId="3593E453">
          <w:pPr>
            <w:pStyle w:val="8"/>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"_Toc165399267" </w:instrText>
          </w:r>
          <w:r>
            <w:fldChar w:fldCharType="separate"/>
          </w:r>
          <w:r>
            <w:rPr>
              <w:rStyle w:val="11"/>
              <w:rFonts w:ascii="宋体" w:hAnsi="宋体" w:cs="宋体"/>
            </w:rPr>
            <w:t>2.</w:t>
          </w:r>
          <w:r>
            <w:rPr>
              <w:rFonts w:asciiTheme="minorHAnsi" w:hAnsiTheme="minorHAnsi" w:eastAsiaTheme="minorEastAsia" w:cstheme="minorBidi"/>
              <w:sz w:val="21"/>
              <w:szCs w:val="22"/>
            </w:rPr>
            <w:tab/>
          </w:r>
          <w:r>
            <w:rPr>
              <w:rStyle w:val="11"/>
              <w:rFonts w:hint="eastAsia"/>
            </w:rPr>
            <w:t>项目预算方法</w:t>
          </w:r>
          <w:r>
            <w:tab/>
          </w:r>
          <w:r>
            <w:fldChar w:fldCharType="begin"/>
          </w:r>
          <w:r>
            <w:instrText xml:space="preserve"> PAGEREF _Toc165399267 \h </w:instrText>
          </w:r>
          <w:r>
            <w:fldChar w:fldCharType="separate"/>
          </w:r>
          <w:r>
            <w:t>3</w:t>
          </w:r>
          <w:r>
            <w:fldChar w:fldCharType="end"/>
          </w:r>
          <w:r>
            <w:fldChar w:fldCharType="end"/>
          </w:r>
        </w:p>
        <w:p w14:paraId="4C9FC164">
          <w:pPr>
            <w:pStyle w:val="8"/>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"_Toc165399268" </w:instrText>
          </w:r>
          <w:r>
            <w:fldChar w:fldCharType="separate"/>
          </w:r>
          <w:r>
            <w:rPr>
              <w:rStyle w:val="11"/>
              <w:rFonts w:ascii="宋体" w:hAnsi="宋体" w:cs="宋体"/>
            </w:rPr>
            <w:t>3.</w:t>
          </w:r>
          <w:r>
            <w:rPr>
              <w:rFonts w:asciiTheme="minorHAnsi" w:hAnsiTheme="minorHAnsi" w:eastAsiaTheme="minorEastAsia" w:cstheme="minorBidi"/>
              <w:sz w:val="21"/>
              <w:szCs w:val="22"/>
            </w:rPr>
            <w:tab/>
          </w:r>
          <w:r>
            <w:rPr>
              <w:rStyle w:val="11"/>
              <w:rFonts w:hint="eastAsia"/>
            </w:rPr>
            <w:t>项目成本衡量</w:t>
          </w:r>
          <w:r>
            <w:tab/>
          </w:r>
          <w:r>
            <w:fldChar w:fldCharType="begin"/>
          </w:r>
          <w:r>
            <w:instrText xml:space="preserve"> PAGEREF _Toc165399268 \h </w:instrText>
          </w:r>
          <w:r>
            <w:fldChar w:fldCharType="separate"/>
          </w:r>
          <w:r>
            <w:t>3</w:t>
          </w:r>
          <w:r>
            <w:fldChar w:fldCharType="end"/>
          </w:r>
          <w:r>
            <w:fldChar w:fldCharType="end"/>
          </w:r>
        </w:p>
        <w:p w14:paraId="12104F74">
          <w:pPr>
            <w:pStyle w:val="8"/>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"_Toc165399269" </w:instrText>
          </w:r>
          <w:r>
            <w:fldChar w:fldCharType="separate"/>
          </w:r>
          <w:r>
            <w:rPr>
              <w:rStyle w:val="11"/>
              <w:rFonts w:ascii="宋体" w:hAnsi="宋体" w:cs="宋体"/>
            </w:rPr>
            <w:t>4.</w:t>
          </w:r>
          <w:r>
            <w:rPr>
              <w:rFonts w:asciiTheme="minorHAnsi" w:hAnsiTheme="minorHAnsi" w:eastAsiaTheme="minorEastAsia" w:cstheme="minorBidi"/>
              <w:sz w:val="21"/>
              <w:szCs w:val="22"/>
            </w:rPr>
            <w:tab/>
          </w:r>
          <w:r>
            <w:rPr>
              <w:rStyle w:val="11"/>
              <w:rFonts w:hint="eastAsia"/>
            </w:rPr>
            <w:t>报告形式</w:t>
          </w:r>
          <w:r>
            <w:tab/>
          </w:r>
          <w:r>
            <w:fldChar w:fldCharType="begin"/>
          </w:r>
          <w:r>
            <w:instrText xml:space="preserve"> PAGEREF _Toc165399269 \h </w:instrText>
          </w:r>
          <w:r>
            <w:fldChar w:fldCharType="separate"/>
          </w:r>
          <w:r>
            <w:t>4</w:t>
          </w:r>
          <w:r>
            <w:fldChar w:fldCharType="end"/>
          </w:r>
          <w:r>
            <w:fldChar w:fldCharType="end"/>
          </w:r>
        </w:p>
        <w:p w14:paraId="21B595FB">
          <w:pPr>
            <w:pStyle w:val="8"/>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"_Toc165399270" </w:instrText>
          </w:r>
          <w:r>
            <w:fldChar w:fldCharType="separate"/>
          </w:r>
          <w:r>
            <w:rPr>
              <w:rStyle w:val="11"/>
              <w:rFonts w:ascii="宋体" w:hAnsi="宋体" w:cs="宋体"/>
            </w:rPr>
            <w:t>5.</w:t>
          </w:r>
          <w:r>
            <w:rPr>
              <w:rFonts w:asciiTheme="minorHAnsi" w:hAnsiTheme="minorHAnsi" w:eastAsiaTheme="minorEastAsia" w:cstheme="minorBidi"/>
              <w:sz w:val="21"/>
              <w:szCs w:val="22"/>
            </w:rPr>
            <w:tab/>
          </w:r>
          <w:r>
            <w:rPr>
              <w:rStyle w:val="11"/>
              <w:rFonts w:hint="eastAsia"/>
            </w:rPr>
            <w:t>预算控制</w:t>
          </w:r>
          <w:r>
            <w:tab/>
          </w:r>
          <w:r>
            <w:fldChar w:fldCharType="begin"/>
          </w:r>
          <w:r>
            <w:instrText xml:space="preserve"> PAGEREF _Toc165399270 \h </w:instrText>
          </w:r>
          <w:r>
            <w:fldChar w:fldCharType="separate"/>
          </w:r>
          <w:r>
            <w:t>4</w:t>
          </w:r>
          <w:r>
            <w:fldChar w:fldCharType="end"/>
          </w:r>
          <w:r>
            <w:fldChar w:fldCharType="end"/>
          </w:r>
        </w:p>
        <w:p w14:paraId="0D8CE2FE">
          <w:pPr>
            <w:pStyle w:val="8"/>
            <w:tabs>
              <w:tab w:val="left" w:pos="1050"/>
              <w:tab w:val="right" w:leader="dot" w:pos="8296"/>
            </w:tabs>
            <w:ind w:firstLine="480"/>
            <w:rPr>
              <w:rFonts w:asciiTheme="minorHAnsi" w:hAnsiTheme="minorHAnsi" w:eastAsiaTheme="minorEastAsia" w:cstheme="minorBidi"/>
              <w:sz w:val="21"/>
              <w:szCs w:val="22"/>
            </w:rPr>
          </w:pPr>
          <w:r>
            <w:fldChar w:fldCharType="begin"/>
          </w:r>
          <w:r>
            <w:instrText xml:space="preserve"> HYPERLINK \l "_Toc165399271" </w:instrText>
          </w:r>
          <w:r>
            <w:fldChar w:fldCharType="separate"/>
          </w:r>
          <w:r>
            <w:rPr>
              <w:rStyle w:val="11"/>
              <w:rFonts w:ascii="宋体" w:hAnsi="宋体" w:cs="宋体"/>
            </w:rPr>
            <w:t>6.</w:t>
          </w:r>
          <w:r>
            <w:rPr>
              <w:rFonts w:asciiTheme="minorHAnsi" w:hAnsiTheme="minorHAnsi" w:eastAsiaTheme="minorEastAsia" w:cstheme="minorBidi"/>
              <w:sz w:val="21"/>
              <w:szCs w:val="22"/>
            </w:rPr>
            <w:tab/>
          </w:r>
          <w:r>
            <w:rPr>
              <w:rStyle w:val="11"/>
              <w:rFonts w:hint="eastAsia"/>
            </w:rPr>
            <w:t>项目预算</w:t>
          </w:r>
          <w:r>
            <w:tab/>
          </w:r>
          <w:r>
            <w:fldChar w:fldCharType="begin"/>
          </w:r>
          <w:r>
            <w:instrText xml:space="preserve"> PAGEREF _Toc165399271 \h </w:instrText>
          </w:r>
          <w:r>
            <w:fldChar w:fldCharType="separate"/>
          </w:r>
          <w:r>
            <w:t>4</w:t>
          </w:r>
          <w:r>
            <w:fldChar w:fldCharType="end"/>
          </w:r>
          <w:r>
            <w:fldChar w:fldCharType="end"/>
          </w:r>
        </w:p>
        <w:p w14:paraId="27A6C2EB">
          <w:pPr>
            <w:ind w:firstLine="480"/>
          </w:pPr>
          <w:r>
            <w:fldChar w:fldCharType="end"/>
          </w:r>
        </w:p>
      </w:sdtContent>
    </w:sdt>
    <w:p w14:paraId="4E7A23A1">
      <w:pPr>
        <w:numPr>
          <w:ilvl w:val="0"/>
          <w:numId w:val="2"/>
        </w:numPr>
        <w:ind w:firstLineChars="0"/>
        <w:outlineLvl w:val="0"/>
        <w:rPr>
          <w:rFonts w:ascii="宋体" w:hAnsi="宋体" w:cs="宋体"/>
          <w:b/>
          <w:bCs/>
          <w:sz w:val="30"/>
          <w:szCs w:val="30"/>
        </w:rPr>
        <w:sectPr>
          <w:pgSz w:w="11906" w:h="16838"/>
          <w:pgMar w:top="1440" w:right="1800" w:bottom="1440" w:left="1800" w:header="851" w:footer="992" w:gutter="0"/>
          <w:cols w:space="425" w:num="1"/>
          <w:titlePg/>
          <w:docGrid w:type="lines" w:linePitch="326" w:charSpace="0"/>
        </w:sectPr>
      </w:pPr>
      <w:bookmarkStart w:id="0" w:name="_Toc9636"/>
    </w:p>
    <w:p w14:paraId="0BF54449">
      <w:pPr>
        <w:pStyle w:val="2"/>
        <w:rPr>
          <w:rFonts w:hint="eastAsia"/>
        </w:rPr>
      </w:pPr>
      <w:bookmarkStart w:id="1" w:name="_Toc165399266"/>
      <w:r>
        <w:rPr>
          <w:rFonts w:hint="eastAsia"/>
        </w:rPr>
        <w:t>项目简介</w:t>
      </w:r>
      <w:bookmarkEnd w:id="0"/>
      <w:bookmarkEnd w:id="1"/>
    </w:p>
    <w:p w14:paraId="4FEC2C66">
      <w:pPr>
        <w:ind w:firstLine="480"/>
        <w:rPr>
          <w:rFonts w:hint="eastAsia" w:ascii="宋体" w:hAnsi="宋体" w:cs="宋体"/>
        </w:rPr>
      </w:pPr>
      <w:r>
        <w:rPr>
          <w:rFonts w:ascii="宋体" w:hAnsi="宋体" w:cs="宋体"/>
        </w:rPr>
        <w:t>本项目旨在开发一个高效的图书管理系统，以便图书馆和类似机构能够更好地管理其图书资源、提供优质的服务，并满足用户的需求。该系统将包括图书借阅、</w:t>
      </w:r>
      <w:r>
        <w:rPr>
          <w:rFonts w:hint="eastAsia" w:ascii="宋体" w:hAnsi="宋体" w:cs="宋体"/>
        </w:rPr>
        <w:t>图书查询、图书的新增与删除、用户管理</w:t>
      </w:r>
      <w:r>
        <w:rPr>
          <w:rFonts w:ascii="宋体" w:hAnsi="宋体" w:cs="宋体"/>
        </w:rPr>
        <w:t>等功能，旨在提高图书管理效率和用户体验。</w:t>
      </w:r>
    </w:p>
    <w:p w14:paraId="05CA6C29">
      <w:pPr>
        <w:ind w:firstLine="480"/>
      </w:pPr>
      <w:r>
        <w:rPr>
          <w:rFonts w:hint="eastAsia"/>
        </w:rPr>
        <w:t>项目经理将负责在整个项目期间管理和报告项目成本。在月度项目状态会议期间，项目经理将与管理层会面，介绍并审查上个月的项目成本绩效。绩效将使用挣值进行衡量。项目经理负责核算成本偏差，并向项目发起人提供使项目恢复预算的选项。项目发起人有权对项目进行更改，使其回到预算范围内</w:t>
      </w:r>
    </w:p>
    <w:p w14:paraId="31176C62">
      <w:pPr>
        <w:pStyle w:val="2"/>
        <w:rPr>
          <w:rFonts w:hint="eastAsia"/>
        </w:rPr>
      </w:pPr>
      <w:bookmarkStart w:id="2" w:name="_Toc165399267"/>
      <w:r>
        <w:rPr>
          <w:rFonts w:hint="eastAsia"/>
        </w:rPr>
        <w:t>项目预算方法</w:t>
      </w:r>
      <w:bookmarkEnd w:id="2"/>
    </w:p>
    <w:p w14:paraId="4F1FDBA7">
      <w:pPr>
        <w:ind w:firstLine="480"/>
        <w:rPr>
          <w:rFonts w:hint="eastAsia"/>
        </w:rPr>
      </w:pPr>
      <w:r>
        <w:rPr>
          <w:rFonts w:hint="eastAsia"/>
        </w:rPr>
        <w:t>本项目的成本将在工作分解结构（WBS）的第四级进行管理。将在此级别创建控制帐户（CA）以跟踪成本。CA的挣值计算将衡量和管理项目的财务绩效。尽管工作包中详细说明了活动成本估算，但成本管理的准确性水平位于WBS的第四级。工作的信用将在工作包级别分配。在工作包上开始的工作将给予该工作包50%的信贷；而剩余的50%将在完成该工作包中定义的所有工作后记入贷方。成本可以四舍五入到最接近的美元，工时可以四舍五入到最靠近的整小时。</w:t>
      </w:r>
    </w:p>
    <w:p w14:paraId="7BE179A9">
      <w:pPr>
        <w:ind w:firstLine="480"/>
      </w:pPr>
      <w:r>
        <w:rPr>
          <w:rFonts w:hint="eastAsia"/>
        </w:rPr>
        <w:t>成本和进度绩效指数中+/-0.1的成本差异将使成本状态变为警示；因此，这些值将在项目状态报告中更改为黄色。成本和进度绩效指数中+/-0.2的成本差异将使成本状态变为警报阶段；因此，这些值将在项目状态报告中更改为红色。这需要项目经理采取纠正措施，以使成本和/或进度绩效指数低于警戒级别。纠正措施需要项目变更请求，并且必须得到项目发起人的批准，才能纳入项目范围。</w:t>
      </w:r>
    </w:p>
    <w:p w14:paraId="357F2233">
      <w:pPr>
        <w:ind w:firstLine="480"/>
      </w:pPr>
    </w:p>
    <w:p w14:paraId="04F89235">
      <w:pPr>
        <w:pStyle w:val="2"/>
        <w:rPr>
          <w:rFonts w:hint="eastAsia"/>
        </w:rPr>
      </w:pPr>
      <w:bookmarkStart w:id="3" w:name="_Toc165399268"/>
      <w:r>
        <w:rPr>
          <w:rFonts w:hint="eastAsia"/>
        </w:rPr>
        <w:t>项目成本衡量</w:t>
      </w:r>
      <w:bookmarkEnd w:id="3"/>
    </w:p>
    <w:p w14:paraId="06F7625B">
      <w:pPr>
        <w:ind w:firstLine="480"/>
        <w:rPr>
          <w:rFonts w:hint="eastAsia"/>
        </w:rPr>
      </w:pPr>
      <w:r>
        <w:rPr>
          <w:rFonts w:hint="eastAsia"/>
        </w:rPr>
        <w:t>项目绩效将使用挣值管理进行衡量。以下四个挣值指标将用于衡量项目的成本效益：</w:t>
      </w:r>
    </w:p>
    <w:p w14:paraId="6D40967A">
      <w:pPr>
        <w:ind w:firstLine="480"/>
        <w:rPr>
          <w:rFonts w:hint="eastAsia"/>
        </w:rPr>
      </w:pPr>
      <w:r>
        <w:rPr>
          <w:rFonts w:hint="eastAsia"/>
        </w:rPr>
        <w:t>•进度差异（SV）</w:t>
      </w:r>
    </w:p>
    <w:p w14:paraId="15B20701">
      <w:pPr>
        <w:ind w:firstLine="480"/>
        <w:rPr>
          <w:rFonts w:hint="eastAsia"/>
        </w:rPr>
      </w:pPr>
      <w:r>
        <w:rPr>
          <w:rFonts w:hint="eastAsia"/>
        </w:rPr>
        <w:t>•成本差异（CV）</w:t>
      </w:r>
    </w:p>
    <w:p w14:paraId="1116FBAB">
      <w:pPr>
        <w:ind w:firstLine="480"/>
        <w:rPr>
          <w:rFonts w:hint="eastAsia"/>
        </w:rPr>
      </w:pPr>
      <w:r>
        <w:rPr>
          <w:rFonts w:hint="eastAsia"/>
        </w:rPr>
        <w:t>•进度性能指数（SPI）</w:t>
      </w:r>
    </w:p>
    <w:p w14:paraId="62C425C5">
      <w:pPr>
        <w:ind w:firstLine="480"/>
        <w:rPr>
          <w:rFonts w:hint="eastAsia"/>
        </w:rPr>
      </w:pPr>
      <w:r>
        <w:rPr>
          <w:rFonts w:hint="eastAsia"/>
        </w:rPr>
        <w:t>•性价比指数（CPI）</w:t>
      </w:r>
    </w:p>
    <w:p w14:paraId="607A71B3">
      <w:pPr>
        <w:ind w:firstLine="480"/>
      </w:pPr>
      <w:r>
        <w:rPr>
          <w:rFonts w:hint="eastAsia"/>
        </w:rPr>
        <w:t>如果进度绩效指数或成本绩效指数的差异在0.1到0.2之间，项目经理必须报告例外情况的原因。如果SPI或CPI的差异大于0.2，项目经理必须报告异常原因，并向管理层提供详细的纠正计划，使项目绩效恢复到可接受的水平。</w:t>
      </w:r>
    </w:p>
    <w:p w14:paraId="231867F4">
      <w:pPr>
        <w:ind w:firstLine="480"/>
      </w:pPr>
    </w:p>
    <w:tbl>
      <w:tblPr>
        <w:tblStyle w:val="9"/>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637"/>
        <w:gridCol w:w="2398"/>
        <w:gridCol w:w="2379"/>
      </w:tblGrid>
      <w:tr w14:paraId="2E76B9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7" w:type="dxa"/>
          </w:tcPr>
          <w:p w14:paraId="61998F2B">
            <w:pPr>
              <w:ind w:firstLine="1080" w:firstLineChars="450"/>
            </w:pPr>
            <w:r>
              <w:rPr>
                <w:rFonts w:hint="eastAsia"/>
              </w:rPr>
              <w:t>性能指标</w:t>
            </w:r>
          </w:p>
        </w:tc>
        <w:tc>
          <w:tcPr>
            <w:tcW w:w="2398" w:type="dxa"/>
          </w:tcPr>
          <w:p w14:paraId="203A9E99">
            <w:pPr>
              <w:ind w:firstLine="480"/>
              <w:jc w:val="center"/>
            </w:pPr>
            <w:r>
              <w:rPr>
                <w:rFonts w:hint="eastAsia"/>
                <w:highlight w:val="yellow"/>
              </w:rPr>
              <w:t>黄</w:t>
            </w:r>
            <w:r>
              <w:rPr>
                <w:rFonts w:hint="eastAsia"/>
              </w:rPr>
              <w:t>-</w:t>
            </w:r>
          </w:p>
        </w:tc>
        <w:tc>
          <w:tcPr>
            <w:tcW w:w="2379" w:type="dxa"/>
          </w:tcPr>
          <w:p w14:paraId="6B3A3706">
            <w:pPr>
              <w:ind w:firstLine="840" w:firstLineChars="350"/>
            </w:pPr>
            <w:r>
              <w:rPr>
                <w:rFonts w:hint="eastAsia"/>
                <w:highlight w:val="red"/>
              </w:rPr>
              <w:t>红</w:t>
            </w:r>
          </w:p>
        </w:tc>
      </w:tr>
      <w:tr w14:paraId="7DFB7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7" w:type="dxa"/>
          </w:tcPr>
          <w:p w14:paraId="112E93E5">
            <w:pPr>
              <w:ind w:firstLine="0" w:firstLineChars="0"/>
              <w:jc w:val="center"/>
              <w:rPr>
                <w:rFonts w:hint="eastAsia"/>
              </w:rPr>
            </w:pPr>
            <w:r>
              <w:rPr>
                <w:rFonts w:hint="eastAsia"/>
              </w:rPr>
              <w:t>进度绩效指数（SPI）</w:t>
            </w:r>
          </w:p>
        </w:tc>
        <w:tc>
          <w:tcPr>
            <w:tcW w:w="2398" w:type="dxa"/>
          </w:tcPr>
          <w:p w14:paraId="04FF1709">
            <w:pPr>
              <w:ind w:firstLine="0" w:firstLineChars="0"/>
              <w:jc w:val="center"/>
              <w:rPr>
                <w:rFonts w:hint="eastAsia"/>
              </w:rPr>
            </w:pPr>
            <w:r>
              <w:rPr>
                <w:rFonts w:hint="eastAsia"/>
              </w:rPr>
              <w:t>介于0.9和0.8之间或1.1和1.2之间</w:t>
            </w:r>
          </w:p>
        </w:tc>
        <w:tc>
          <w:tcPr>
            <w:tcW w:w="2379" w:type="dxa"/>
          </w:tcPr>
          <w:p w14:paraId="5C4C3A60">
            <w:pPr>
              <w:ind w:firstLine="0" w:firstLineChars="0"/>
              <w:jc w:val="center"/>
              <w:rPr>
                <w:rFonts w:hint="eastAsia"/>
              </w:rPr>
            </w:pPr>
            <w:r>
              <w:rPr>
                <w:rFonts w:hint="eastAsia"/>
              </w:rPr>
              <w:t>小于0.8或大于1.2</w:t>
            </w:r>
          </w:p>
        </w:tc>
      </w:tr>
      <w:tr w14:paraId="1CC0E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637" w:type="dxa"/>
          </w:tcPr>
          <w:p w14:paraId="7604597E">
            <w:pPr>
              <w:ind w:firstLine="480"/>
              <w:rPr>
                <w:rFonts w:hint="eastAsia"/>
              </w:rPr>
            </w:pPr>
            <w:r>
              <w:rPr>
                <w:rFonts w:hint="eastAsia"/>
              </w:rPr>
              <w:t>成本效益指数（CPI）</w:t>
            </w:r>
          </w:p>
        </w:tc>
        <w:tc>
          <w:tcPr>
            <w:tcW w:w="2398" w:type="dxa"/>
          </w:tcPr>
          <w:p w14:paraId="19951908">
            <w:pPr>
              <w:ind w:firstLine="0" w:firstLineChars="0"/>
              <w:rPr>
                <w:rFonts w:hint="eastAsia"/>
              </w:rPr>
            </w:pPr>
            <w:r>
              <w:rPr>
                <w:rFonts w:hint="eastAsia"/>
              </w:rPr>
              <w:t>介于0.9和0.8之间或介于1.1和1.2之间</w:t>
            </w:r>
          </w:p>
        </w:tc>
        <w:tc>
          <w:tcPr>
            <w:tcW w:w="2379" w:type="dxa"/>
          </w:tcPr>
          <w:p w14:paraId="3BE4491D">
            <w:pPr>
              <w:ind w:firstLine="0" w:firstLineChars="0"/>
              <w:jc w:val="center"/>
              <w:rPr>
                <w:rFonts w:hint="eastAsia"/>
              </w:rPr>
            </w:pPr>
            <w:r>
              <w:rPr>
                <w:rFonts w:hint="eastAsia"/>
              </w:rPr>
              <w:t>小于0.8或大于1.2</w:t>
            </w:r>
          </w:p>
        </w:tc>
      </w:tr>
    </w:tbl>
    <w:p w14:paraId="14C19BAC">
      <w:pPr>
        <w:ind w:firstLine="480"/>
      </w:pPr>
    </w:p>
    <w:p w14:paraId="5D78E46A">
      <w:pPr>
        <w:pStyle w:val="2"/>
        <w:rPr>
          <w:rFonts w:hint="eastAsia"/>
        </w:rPr>
      </w:pPr>
      <w:bookmarkStart w:id="4" w:name="_Toc165399269"/>
      <w:r>
        <w:rPr>
          <w:rFonts w:hint="eastAsia"/>
        </w:rPr>
        <w:t>报告形式</w:t>
      </w:r>
      <w:bookmarkEnd w:id="4"/>
    </w:p>
    <w:p w14:paraId="5E59CCDC">
      <w:pPr>
        <w:ind w:firstLine="480"/>
      </w:pPr>
      <w:r>
        <w:rPr>
          <w:rFonts w:hint="eastAsia"/>
        </w:rPr>
        <w:t>成本管理报告将包含在月度项目状态报告中。月度项目状态报告将包括一个标有“成本管理”的部分。本节将包含上一节中确定的挣值指标。将报告本成本管理计划中确定的阈值之外的所有成本差异，包括计划的任何纠正措施。基于项目成本超支而触发的变更请求将在本报告中进行识别和跟踪。</w:t>
      </w:r>
    </w:p>
    <w:p w14:paraId="3836F6F5">
      <w:pPr>
        <w:pStyle w:val="2"/>
        <w:rPr>
          <w:rFonts w:hint="eastAsia"/>
        </w:rPr>
      </w:pPr>
      <w:bookmarkStart w:id="5" w:name="_Toc165399270"/>
      <w:r>
        <w:rPr>
          <w:rFonts w:hint="eastAsia"/>
        </w:rPr>
        <w:t>预算控制</w:t>
      </w:r>
      <w:bookmarkEnd w:id="5"/>
      <w:bookmarkStart w:id="6" w:name="_Toc332205548"/>
    </w:p>
    <w:bookmarkEnd w:id="6"/>
    <w:p w14:paraId="204F4A1D">
      <w:pPr>
        <w:ind w:firstLine="480"/>
      </w:pPr>
      <w:r>
        <w:rPr>
          <w:rFonts w:hint="eastAsia"/>
        </w:rPr>
        <w:t>成本差异响应过程的控制阈值是小于0.8或大于1.2的CPI或SPI。如果项目达到其中一个控制阈值，则需要制定成本差异纠正措施计划。项目经理将在首次报告成本差异后的五个工作日内向项目发起人提供纠正措施的选择。在项目发起人选择纠正措施选项后的三个工作日内，项目经理将向项目发起人提交一份正式的成本差异纠正措施计划。成本差异纠正措施计划将详细说明使项目回到预算范围内所需的措施，以及衡量计划中措施有效性的方法。在接受成本差异纠正措施计划后，该计划将成为项目计划的一部分，项目将更新以反映纠正措施。</w:t>
      </w:r>
    </w:p>
    <w:p w14:paraId="2A356604">
      <w:pPr>
        <w:ind w:firstLine="480"/>
      </w:pPr>
      <w:r>
        <w:rPr>
          <w:rFonts w:hint="eastAsia"/>
        </w:rPr>
        <w:t>成本变更控制流程将遵循既定的项目变更请求流程。项目预算/成本变更的批准必须得到项目发起人的批准。</w:t>
      </w:r>
    </w:p>
    <w:p w14:paraId="7A53A2FC">
      <w:pPr>
        <w:pStyle w:val="2"/>
        <w:rPr>
          <w:rFonts w:hint="eastAsia"/>
        </w:rPr>
      </w:pPr>
      <w:bookmarkStart w:id="7" w:name="_Toc165399271"/>
      <w:r>
        <w:rPr>
          <w:rFonts w:hint="eastAsia"/>
        </w:rPr>
        <w:t>项目预算</w:t>
      </w:r>
      <w:bookmarkEnd w:id="7"/>
    </w:p>
    <w:p w14:paraId="4B585DFB">
      <w:pPr>
        <w:ind w:firstLine="480"/>
        <w:rPr>
          <w:rFonts w:hint="eastAsia"/>
        </w:rPr>
      </w:pPr>
      <w:r>
        <w:rPr>
          <w:rFonts w:hint="eastAsia"/>
        </w:rPr>
        <w:t>该项目的预算详细如下。该项目的成本按不同类别列出:</w:t>
      </w:r>
    </w:p>
    <w:p w14:paraId="2E58FC66">
      <w:pPr>
        <w:ind w:firstLine="480"/>
        <w:rPr>
          <w:rFonts w:hint="eastAsia"/>
        </w:rPr>
      </w:pPr>
      <w:r>
        <w:rPr>
          <w:rFonts w:hint="eastAsia"/>
        </w:rPr>
        <w:t>固定成本：$ xxx，xxx.xx</w:t>
      </w:r>
    </w:p>
    <w:p w14:paraId="76DADB8F">
      <w:pPr>
        <w:ind w:firstLine="480"/>
        <w:rPr>
          <w:rFonts w:hint="eastAsia"/>
        </w:rPr>
      </w:pPr>
      <w:r>
        <w:rPr>
          <w:rFonts w:hint="eastAsia"/>
        </w:rPr>
        <w:t>材料成本$xxx，xxx.xx</w:t>
      </w:r>
    </w:p>
    <w:p w14:paraId="511EC18F">
      <w:pPr>
        <w:ind w:firstLine="480"/>
        <w:rPr>
          <w:rFonts w:hint="eastAsia"/>
        </w:rPr>
      </w:pPr>
      <w:r>
        <w:rPr>
          <w:rFonts w:hint="eastAsia"/>
        </w:rPr>
        <w:t>承包商成本$xxx，xxx.xx</w:t>
      </w:r>
    </w:p>
    <w:p w14:paraId="466678CD">
      <w:pPr>
        <w:ind w:firstLine="480"/>
      </w:pPr>
      <w:r>
        <w:rPr>
          <w:rFonts w:hint="eastAsia"/>
        </w:rPr>
        <w:t>项目总成本$xxx，xxx.xx</w:t>
      </w:r>
    </w:p>
    <w:p w14:paraId="01248FD4">
      <w:pPr>
        <w:ind w:firstLine="480"/>
        <w:rPr>
          <w:rFonts w:hint="eastAsia"/>
        </w:rPr>
      </w:pPr>
      <w:r>
        <w:rPr>
          <w:rFonts w:hint="eastAsia"/>
        </w:rPr>
        <w:t>管理储备金$x，xxx.xx</w:t>
      </w:r>
      <w:r>
        <w:t xml:space="preserve"> </w:t>
      </w:r>
    </w:p>
    <w:p w14:paraId="047FF66D">
      <w:pPr>
        <w:ind w:firstLine="480"/>
        <w:rPr>
          <w:rFonts w:hint="eastAsia"/>
        </w:rPr>
      </w:pPr>
    </w:p>
    <w:p w14:paraId="0F14A0BE">
      <w:pPr>
        <w:ind w:firstLine="480"/>
      </w:pPr>
      <w:r>
        <w:t xml:space="preserve"> </w:t>
      </w:r>
    </w:p>
    <w:p w14:paraId="73007733">
      <w:pPr>
        <w:ind w:firstLine="480"/>
        <w:rPr>
          <w:rFonts w:hint="eastAsia"/>
        </w:rPr>
      </w:pPr>
      <w:r>
        <w:rPr>
          <w:rFonts w:hint="eastAsia"/>
        </w:rPr>
        <w:t>赞助商</w:t>
      </w:r>
    </w:p>
    <w:p w14:paraId="1712E55C">
      <w:pPr>
        <w:ind w:firstLine="480"/>
      </w:pPr>
    </w:p>
    <w:p w14:paraId="6962FB7B">
      <w:pPr>
        <w:ind w:firstLine="480"/>
      </w:pPr>
    </w:p>
    <w:p w14:paraId="1716DF53">
      <w:pPr>
        <w:ind w:firstLine="480"/>
      </w:pPr>
      <w:r>
        <w:rPr>
          <w:rFonts w:hint="eastAsia"/>
        </w:rPr>
        <w:t>项目发起人批准：________________</w:t>
      </w:r>
    </w:p>
    <w:p w14:paraId="05AA305B">
      <w:pPr>
        <w:ind w:left="5400" w:firstLine="480"/>
        <w:rPr>
          <w:rFonts w:hint="eastAsia"/>
        </w:rPr>
      </w:pPr>
      <w:r>
        <w:rPr>
          <w:rFonts w:hint="eastAsia"/>
        </w:rPr>
        <w:t>日期:___________</w:t>
      </w:r>
    </w:p>
    <w:p w14:paraId="01298068">
      <w:pPr>
        <w:ind w:firstLine="480"/>
        <w:rPr>
          <w:rFonts w:hint="eastAsia"/>
        </w:rPr>
      </w:pPr>
      <w:r>
        <w:rPr>
          <w:rFonts w:hint="eastAsia"/>
        </w:rPr>
        <w:t>&lt;项目发起人&gt;</w:t>
      </w:r>
    </w:p>
    <w:p w14:paraId="66B8A0DD">
      <w:pPr>
        <w:ind w:firstLine="480"/>
        <w:rPr>
          <w:rFonts w:hint="eastAsia"/>
        </w:rPr>
      </w:pPr>
      <w:r>
        <w:rPr>
          <w:rFonts w:hint="eastAsia"/>
        </w:rPr>
        <w:t>&lt;项目赞助商名称&gt;</w:t>
      </w:r>
    </w:p>
    <w:p w14:paraId="0DEB8B4F">
      <w:pPr>
        <w:ind w:firstLine="480"/>
        <w:rPr>
          <w:rFonts w:hint="eastAsia"/>
        </w:rPr>
      </w:pPr>
    </w:p>
    <w:p w14:paraId="0F74E028">
      <w:pPr>
        <w:ind w:firstLine="480"/>
      </w:pPr>
    </w:p>
    <w:sectPr>
      <w:footerReference r:id="rId11" w:type="default"/>
      <w:pgSz w:w="11906" w:h="16838"/>
      <w:pgMar w:top="1440" w:right="1800" w:bottom="1440" w:left="1800" w:header="851" w:footer="992" w:gutter="0"/>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ind w:firstLine="480"/>
      </w:pPr>
      <w:r>
        <w:separator/>
      </w:r>
    </w:p>
  </w:endnote>
  <w:endnote w:type="continuationSeparator" w:id="1">
    <w:p>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9BDC8A">
    <w:pPr>
      <w:pStyle w:val="6"/>
      <w:ind w:firstLine="0" w:firstLineChars="0"/>
    </w:pPr>
  </w:p>
  <w:p w14:paraId="48C8FB40">
    <w:pPr>
      <w:pStyle w:val="6"/>
      <w:ind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75D3A2">
    <w:pPr>
      <w:pStyle w:val="6"/>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55FDEA">
    <w:pPr>
      <w:pStyle w:val="6"/>
      <w:ind w:firstLine="360"/>
      <w:jc w:val="center"/>
    </w:pPr>
  </w:p>
  <w:p w14:paraId="5B147FBC">
    <w:pPr>
      <w:pStyle w:val="6"/>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01C056">
    <w:pPr>
      <w:pStyle w:val="6"/>
      <w:ind w:firstLine="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ind w:firstLine="480"/>
      </w:pPr>
      <w:r>
        <w:separator/>
      </w:r>
    </w:p>
  </w:footnote>
  <w:footnote w:type="continuationSeparator" w:id="1">
    <w:p>
      <w:pPr>
        <w:ind w:firstLine="48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5555C1">
    <w:pPr>
      <w:pStyle w:val="7"/>
      <w:rPr>
        <w:rFonts w:hint="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3E75CD">
    <w:pPr>
      <w:pStyle w:val="7"/>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2A2B0C">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E0DAA4"/>
    <w:multiLevelType w:val="multilevel"/>
    <w:tmpl w:val="CBE0DAA4"/>
    <w:lvl w:ilvl="0" w:tentative="0">
      <w:start w:val="1"/>
      <w:numFmt w:val="decimal"/>
      <w:lvlText w:val="%1."/>
      <w:lvlJc w:val="left"/>
      <w:pPr>
        <w:ind w:left="425" w:hanging="425"/>
      </w:pPr>
      <w:rPr>
        <w:rFonts w:hint="default"/>
      </w:rPr>
    </w:lvl>
    <w:lvl w:ilvl="1" w:tentative="0">
      <w:start w:val="1"/>
      <w:numFmt w:val="decimal"/>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7AA808FF"/>
    <w:multiLevelType w:val="multilevel"/>
    <w:tmpl w:val="7AA808FF"/>
    <w:lvl w:ilvl="0" w:tentative="0">
      <w:start w:val="1"/>
      <w:numFmt w:val="decimal"/>
      <w:pStyle w:val="2"/>
      <w:lvlText w:val="%1."/>
      <w:lvlJc w:val="left"/>
      <w:pPr>
        <w:ind w:left="425" w:hanging="425"/>
      </w:pPr>
      <w:rPr>
        <w:rFonts w:hint="default" w:ascii="宋体" w:hAnsi="宋体" w:eastAsia="宋体" w:cs="宋体"/>
        <w:sz w:val="30"/>
      </w:rPr>
    </w:lvl>
    <w:lvl w:ilvl="1" w:tentative="0">
      <w:start w:val="1"/>
      <w:numFmt w:val="decimal"/>
      <w:pStyle w:val="3"/>
      <w:lvlText w:val="%1.%2."/>
      <w:lvlJc w:val="left"/>
      <w:pPr>
        <w:ind w:left="2007" w:hanging="567"/>
      </w:pPr>
      <w:rPr>
        <w:rFonts w:hint="default" w:ascii="宋体" w:hAnsi="宋体" w:eastAsia="宋体" w:cs="宋体"/>
        <w:sz w:val="28"/>
      </w:rPr>
    </w:lvl>
    <w:lvl w:ilvl="2" w:tentative="0">
      <w:start w:val="1"/>
      <w:numFmt w:val="decimal"/>
      <w:lvlText w:val="%1.%2.%3."/>
      <w:lvlJc w:val="left"/>
      <w:pPr>
        <w:ind w:left="709" w:hanging="709"/>
      </w:pPr>
      <w:rPr>
        <w:rFonts w:hint="default" w:ascii="宋体" w:hAnsi="宋体" w:eastAsia="宋体" w:cs="宋体"/>
        <w:sz w:val="24"/>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18FF"/>
    <w:rsid w:val="009A2E2E"/>
    <w:rsid w:val="00DC2926"/>
    <w:rsid w:val="00DD18FF"/>
    <w:rsid w:val="15185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nhideWhenUsed="0" w:uiPriority="99" w:semiHidden="0" w:name="header"/>
    <w:lsdException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firstLine="200"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12"/>
    <w:qFormat/>
    <w:uiPriority w:val="0"/>
    <w:pPr>
      <w:keepNext/>
      <w:keepLines/>
      <w:numPr>
        <w:ilvl w:val="0"/>
        <w:numId w:val="1"/>
      </w:numPr>
      <w:spacing w:before="340" w:after="330" w:line="576" w:lineRule="auto"/>
      <w:ind w:firstLineChars="0"/>
      <w:outlineLvl w:val="0"/>
    </w:pPr>
    <w:rPr>
      <w:b/>
      <w:kern w:val="44"/>
      <w:sz w:val="30"/>
    </w:rPr>
  </w:style>
  <w:style w:type="paragraph" w:styleId="3">
    <w:name w:val="heading 2"/>
    <w:basedOn w:val="1"/>
    <w:next w:val="1"/>
    <w:link w:val="13"/>
    <w:unhideWhenUsed/>
    <w:qFormat/>
    <w:uiPriority w:val="0"/>
    <w:pPr>
      <w:keepNext/>
      <w:keepLines/>
      <w:numPr>
        <w:ilvl w:val="1"/>
        <w:numId w:val="1"/>
      </w:numPr>
      <w:spacing w:before="260" w:after="260" w:line="413" w:lineRule="auto"/>
      <w:ind w:left="567" w:firstLineChars="0"/>
      <w:outlineLvl w:val="1"/>
    </w:pPr>
    <w:rPr>
      <w:rFonts w:ascii="Arial" w:hAnsi="Arial" w:eastAsia="黑体"/>
      <w:b/>
      <w:sz w:val="28"/>
    </w:rPr>
  </w:style>
  <w:style w:type="paragraph" w:styleId="4">
    <w:name w:val="heading 3"/>
    <w:basedOn w:val="1"/>
    <w:next w:val="1"/>
    <w:link w:val="14"/>
    <w:unhideWhenUsed/>
    <w:qFormat/>
    <w:uiPriority w:val="0"/>
    <w:pPr>
      <w:keepNext/>
      <w:keepLines/>
      <w:spacing w:before="260" w:after="260" w:line="413" w:lineRule="auto"/>
      <w:outlineLvl w:val="2"/>
    </w:pPr>
    <w:rPr>
      <w:b/>
      <w:sz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5">
    <w:name w:val="Balloon Text"/>
    <w:basedOn w:val="1"/>
    <w:link w:val="17"/>
    <w:semiHidden/>
    <w:unhideWhenUsed/>
    <w:uiPriority w:val="99"/>
    <w:rPr>
      <w:sz w:val="18"/>
      <w:szCs w:val="18"/>
    </w:rPr>
  </w:style>
  <w:style w:type="paragraph" w:styleId="6">
    <w:name w:val="footer"/>
    <w:basedOn w:val="1"/>
    <w:link w:val="16"/>
    <w:uiPriority w:val="99"/>
    <w:pPr>
      <w:tabs>
        <w:tab w:val="center" w:pos="4153"/>
        <w:tab w:val="right" w:pos="8306"/>
      </w:tabs>
      <w:snapToGrid w:val="0"/>
      <w:jc w:val="left"/>
    </w:pPr>
    <w:rPr>
      <w:sz w:val="18"/>
      <w:szCs w:val="18"/>
    </w:rPr>
  </w:style>
  <w:style w:type="paragraph" w:styleId="7">
    <w:name w:val="header"/>
    <w:basedOn w:val="1"/>
    <w:link w:val="15"/>
    <w:uiPriority w:val="99"/>
    <w:pPr>
      <w:widowControl/>
      <w:tabs>
        <w:tab w:val="center" w:pos="4320"/>
        <w:tab w:val="right" w:pos="8640"/>
      </w:tabs>
      <w:ind w:firstLine="0" w:firstLineChars="0"/>
      <w:jc w:val="left"/>
    </w:pPr>
    <w:rPr>
      <w:kern w:val="0"/>
      <w:sz w:val="20"/>
      <w:szCs w:val="20"/>
      <w:lang w:eastAsia="en-US"/>
    </w:rPr>
  </w:style>
  <w:style w:type="paragraph" w:styleId="8">
    <w:name w:val="toc 1"/>
    <w:basedOn w:val="1"/>
    <w:next w:val="1"/>
    <w:qFormat/>
    <w:uiPriority w:val="39"/>
  </w:style>
  <w:style w:type="character" w:styleId="11">
    <w:name w:val="Hyperlink"/>
    <w:basedOn w:val="10"/>
    <w:uiPriority w:val="99"/>
    <w:rPr>
      <w:color w:val="0000FF"/>
      <w:u w:val="single"/>
    </w:rPr>
  </w:style>
  <w:style w:type="character" w:customStyle="1" w:styleId="12">
    <w:name w:val="标题 1 Char"/>
    <w:basedOn w:val="10"/>
    <w:link w:val="2"/>
    <w:uiPriority w:val="0"/>
    <w:rPr>
      <w:rFonts w:ascii="Times New Roman" w:hAnsi="Times New Roman" w:eastAsia="宋体" w:cs="Times New Roman"/>
      <w:b/>
      <w:kern w:val="44"/>
      <w:sz w:val="30"/>
      <w:szCs w:val="24"/>
    </w:rPr>
  </w:style>
  <w:style w:type="character" w:customStyle="1" w:styleId="13">
    <w:name w:val="标题 2 Char"/>
    <w:basedOn w:val="10"/>
    <w:link w:val="3"/>
    <w:uiPriority w:val="0"/>
    <w:rPr>
      <w:rFonts w:ascii="Arial" w:hAnsi="Arial" w:eastAsia="黑体" w:cs="Times New Roman"/>
      <w:b/>
      <w:sz w:val="28"/>
      <w:szCs w:val="24"/>
    </w:rPr>
  </w:style>
  <w:style w:type="character" w:customStyle="1" w:styleId="14">
    <w:name w:val="标题 3 Char"/>
    <w:basedOn w:val="10"/>
    <w:link w:val="4"/>
    <w:uiPriority w:val="0"/>
    <w:rPr>
      <w:rFonts w:ascii="Times New Roman" w:hAnsi="Times New Roman" w:eastAsia="宋体" w:cs="Times New Roman"/>
      <w:b/>
      <w:sz w:val="32"/>
      <w:szCs w:val="24"/>
    </w:rPr>
  </w:style>
  <w:style w:type="character" w:customStyle="1" w:styleId="15">
    <w:name w:val="页眉 Char"/>
    <w:basedOn w:val="10"/>
    <w:link w:val="7"/>
    <w:uiPriority w:val="99"/>
    <w:rPr>
      <w:rFonts w:ascii="Times New Roman" w:hAnsi="Times New Roman" w:eastAsia="宋体" w:cs="Times New Roman"/>
      <w:kern w:val="0"/>
      <w:sz w:val="20"/>
      <w:szCs w:val="20"/>
      <w:lang w:eastAsia="en-US"/>
    </w:rPr>
  </w:style>
  <w:style w:type="character" w:customStyle="1" w:styleId="16">
    <w:name w:val="页脚 Char"/>
    <w:basedOn w:val="10"/>
    <w:link w:val="6"/>
    <w:uiPriority w:val="99"/>
    <w:rPr>
      <w:rFonts w:ascii="Times New Roman" w:hAnsi="Times New Roman" w:eastAsia="宋体" w:cs="Times New Roman"/>
      <w:sz w:val="18"/>
      <w:szCs w:val="18"/>
    </w:rPr>
  </w:style>
  <w:style w:type="character" w:customStyle="1" w:styleId="17">
    <w:name w:val="批注框文本 Char"/>
    <w:basedOn w:val="10"/>
    <w:link w:val="5"/>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numbering" Target="numbering.xml"/><Relationship Id="rId13" Type="http://schemas.openxmlformats.org/officeDocument/2006/relationships/image" Target="media/image1.png"/><Relationship Id="rId12" Type="http://schemas.openxmlformats.org/officeDocument/2006/relationships/theme" Target="theme/theme1.xml"/><Relationship Id="rId11" Type="http://schemas.openxmlformats.org/officeDocument/2006/relationships/footer" Target="foot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MS</Company>
  <Pages>5</Pages>
  <Words>1491</Words>
  <Characters>1637</Characters>
  <Lines>15</Lines>
  <Paragraphs>4</Paragraphs>
  <TotalTime>0</TotalTime>
  <ScaleCrop>false</ScaleCrop>
  <LinksUpToDate>false</LinksUpToDate>
  <CharactersWithSpaces>1677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2024-04-30T11:56:00Z</dcterms:created>
  <dc:creator>xb21cn</dc:creator>
  <cp:lastModifiedBy>邢</cp:lastModifiedBy>
  <dcterms:modified xsi:type="dcterms:W3CDTF">2026-05-12T15:04:40Z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eyJoZGlkIjoiNjI0MTBjM2U1ZjgyOWIxOTAyZWMxM2VlMjgzYTg5NmUiLCJ1c2VySWQiOiI3NzA0Njk1MjEifQ==</vt:lpwstr>
  </property>
  <property fmtid="{D5CDD505-2E9C-101B-9397-08002B2CF9AE}" pid="3" name="KSOProductBuildVer">
    <vt:lpwstr>2052-12.1.0.25865</vt:lpwstr>
  </property>
  <property fmtid="{D5CDD505-2E9C-101B-9397-08002B2CF9AE}" pid="4" name="ICV">
    <vt:lpwstr>61ACA821E6F94731931F93C593CECA9D_12</vt:lpwstr>
  </property>
</Properties>
</file>