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BLACKWING — Technical Research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 Packages 2.8 – 2.11: Operational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consolidates the operational, runtime, observational, and resilience architecture of the PROJECT BLACKWING platform, completing the Phase 2 Technical Research phase.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WP-2.8: Configuration, Policy Engine &amp; Enterprise Administration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Problem Definition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operate securely in enterprise environments, the Blackwing Agent and Console must enforce strict administrative policies (e.g., disabling clipboard sharing, restricting access to specific security groups, limiting file transfers). The policy engine must evaluate these rules deterministically with zero latency overhead during active sessions. Crucially, the system must remain operational and secure even when offline or disconnected from the central Identity Plane.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Architecture &amp; Design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Central Identity Plane         |</w:t>
        <w:br w:type="textWrapping"/>
        <w:t xml:space="preserve">                     +---------------------------------------+</w:t>
        <w:br w:type="textWrapping"/>
        <w:t xml:space="preserve">                                         │</w:t>
        <w:br w:type="textWrapping"/>
        <w:t xml:space="preserve">                                         ▼ (Signed JSON Payload via HTTPS)</w:t>
        <w:br w:type="textWrapping"/>
        <w:t xml:space="preserve">+-----------------------------------------------------------------------------------+</w:t>
        <w:br w:type="textWrapping"/>
        <w:t xml:space="preserve">| BLACKWING AGENT                                                                   |</w:t>
        <w:br w:type="textWrapping"/>
        <w:t xml:space="preserve">|                                                                                   |</w:t>
        <w:br w:type="textWrapping"/>
        <w:t xml:space="preserve">|  +--------------------+      Decrypt &amp; Cache      +----------------------------+  |</w:t>
        <w:br w:type="textWrapping"/>
        <w:t xml:space="preserve">|  | Local SQLite DB    | ────────────────────────&gt; | In-Memory Policy Store     |  |</w:t>
        <w:br w:type="textWrapping"/>
        <w:t xml:space="preserve">|  +--------------------+                           +----------------------------+  |</w:t>
        <w:br w:type="textWrapping"/>
        <w:t xml:space="preserve">|                                                                 │                 |</w:t>
        <w:br w:type="textWrapping"/>
        <w:t xml:space="preserve">|                                                                 ▼                 |</w:t>
        <w:br w:type="textWrapping"/>
        <w:t xml:space="preserve">|  +--------------------+     Evaluate State        +----------------------------+  |</w:t>
        <w:br w:type="textWrapping"/>
        <w:t xml:space="preserve">|  | Session Controller | ────────────────────────&gt; |   Rust Evaluation Engine   |  |</w:t>
        <w:br w:type="textWrapping"/>
        <w:t xml:space="preserve">|  +--------------------+                           +----------------------------+  |</w:t>
        <w:br w:type="textWrapping"/>
        <w:t xml:space="preserve">|           │                                                     │                 |</w:t>
        <w:br w:type="textWrapping"/>
        <w:t xml:space="preserve">|           │                                                     ▼                 |</w:t>
        <w:br w:type="textWrapping"/>
        <w:t xml:space="preserve">|           └───────────────────────────────────────────────► [Allow/Deny]          |</w:t>
        <w:br w:type="textWrapping"/>
        <w:t xml:space="preserve">+-----------------------------------------------------------------------------------+</w:t>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Signed Policy Distribution:</w:t>
      </w:r>
      <w:r w:rsidDel="00000000" w:rsidR="00000000" w:rsidRPr="00000000">
        <w:rPr>
          <w:rFonts w:ascii="Google Sans" w:cs="Google Sans" w:eastAsia="Google Sans" w:hAnsi="Google Sans"/>
          <w:color w:val="1f1f1f"/>
          <w:rtl w:val="0"/>
        </w:rPr>
        <w:t xml:space="preserve"> Policies are authored in the Identity Plane Console, compiled into standard JSON payloads, and cryptographically signed using the Identity Plane's private Ed25519 signing key.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Offline-First Cache:</w:t>
      </w:r>
      <w:r w:rsidDel="00000000" w:rsidR="00000000" w:rsidRPr="00000000">
        <w:rPr>
          <w:rFonts w:ascii="Google Sans" w:cs="Google Sans" w:eastAsia="Google Sans" w:hAnsi="Google Sans"/>
          <w:color w:val="1f1f1f"/>
          <w:rtl w:val="0"/>
        </w:rPr>
        <w:t xml:space="preserve"> The Agent fetches and caches these signed payloads within a local, encrypted SQLite database. When a session initiates, the cached policies are verified against the public key of the Identity Plane. If the Agent is offline or the Identity Plane is unreachable, the Agent strictly enforces the last-known valid, cached policy state.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Zero-Overhead Evaluation:</w:t>
      </w:r>
      <w:r w:rsidDel="00000000" w:rsidR="00000000" w:rsidRPr="00000000">
        <w:rPr>
          <w:rFonts w:ascii="Google Sans" w:cs="Google Sans" w:eastAsia="Google Sans" w:hAnsi="Google Sans"/>
          <w:color w:val="1f1f1f"/>
          <w:rtl w:val="0"/>
        </w:rPr>
        <w:t xml:space="preserve"> Rather than querying a disk-based database or performing remote API calls during an active session, policies are parsed into an immutable, in-memory trie structure in Rust upon Agent startup. Policy checks occur in </w:t>
      </w:r>
      <w:r w:rsidDel="00000000" w:rsidR="00000000" w:rsidRPr="00000000">
        <w:rPr>
          <w:rFonts w:ascii="Google Sans" w:cs="Google Sans" w:eastAsia="Google Sans" w:hAnsi="Google Sans"/>
          <w:color w:val="1f1f1f"/>
        </w:rPr>
        <w:drawing>
          <wp:inline distB="19050" distT="19050" distL="19050" distR="19050">
            <wp:extent cx="411758" cy="2509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758" cy="2509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complexity relative to session traffic.</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Policy Schema &amp; Validation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policy definitions conform to a strict JSON Schema, ensuring backward compatibility.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"$schema": "[https://blackwing.io/schemas/policy.v1.json](https://blackwing.io/schemas/policy.v1.json)",</w:t>
        <w:br w:type="textWrapping"/>
        <w:t xml:space="preserve">  "policy_id": "pol_ent_00918",</w:t>
        <w:br w:type="textWrapping"/>
        <w:t xml:space="preserve">  "version": 1,</w:t>
        <w:br w:type="textWrapping"/>
        <w:t xml:space="preserve">  "tenant_id": "tenant_corp_01",</w:t>
        <w:br w:type="textWrapping"/>
        <w:t xml:space="preserve">  "rules": {</w:t>
        <w:br w:type="textWrapping"/>
        <w:t xml:space="preserve">    "features": {</w:t>
        <w:br w:type="textWrapping"/>
        <w:t xml:space="preserve">      "clipboard_sharing": { "allow": true, "direction": "bidirectional", "max_bytes": 1048576 },</w:t>
        <w:br w:type="textWrapping"/>
        <w:t xml:space="preserve">      "file_transfer": { "allow": false },</w:t>
        <w:br w:type="textWrapping"/>
        <w:t xml:space="preserve">      "relative_input_mode": { "allow": true }</w:t>
        <w:br w:type="textWrapping"/>
        <w:t xml:space="preserve">    },</w:t>
        <w:br w:type="textWrapping"/>
        <w:t xml:space="preserve">    "network": {</w:t>
        <w:br w:type="textWrapping"/>
        <w:t xml:space="preserve">      "allowed_ip_ranges": ["10.0.0.0/8", "192.168.1.0/24"],</w:t>
        <w:br w:type="textWrapping"/>
        <w:t xml:space="preserve">      "force_relay": false</w:t>
        <w:br w:type="textWrapping"/>
        <w:t xml:space="preserve">    }</w:t>
        <w:br w:type="textWrapping"/>
        <w:t xml:space="preserve">  },</w:t>
        <w:br w:type="textWrapping"/>
        <w:t xml:space="preserve">  "signature": "8a3f9c...[Ed25519 signature validation block]"</w:t>
        <w:br w:type="textWrapping"/>
        <w:t xml:space="preserve">}</w:t>
        <w:br w:type="textWrapping"/>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WP-2.9: Observability, Telemetry &amp; Diagnostics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Problem Definition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Diagnosing performance bottlenecks (e.g., frame drops, high RTT, encoder latency) and debugging connection failures in a zero-trust, end-to-end encrypted remote desktop environment is exceptionally difficult. We must log operational metadata without exposing session payloads, violating user privacy, or degrading performance.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Observability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Blackwing implements a non-blocking, asynchronous metrics pipeline using the tracing ecosystem in Rust.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Structured Tracing:</w:t>
      </w:r>
      <w:r w:rsidDel="00000000" w:rsidR="00000000" w:rsidRPr="00000000">
        <w:rPr>
          <w:rFonts w:ascii="Google Sans" w:cs="Google Sans" w:eastAsia="Google Sans" w:hAnsi="Google Sans"/>
          <w:color w:val="1f1f1f"/>
          <w:rtl w:val="0"/>
        </w:rPr>
        <w:t xml:space="preserve"> All logs are written as structured JSON events. Log levels are dynamically configurable at runtime without service restarts.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Metrics (The Diagnostic Ring Buffer):</w:t>
      </w:r>
      <w:r w:rsidDel="00000000" w:rsidR="00000000" w:rsidRPr="00000000">
        <w:rPr>
          <w:rFonts w:ascii="Google Sans" w:cs="Google Sans" w:eastAsia="Google Sans" w:hAnsi="Google Sans"/>
          <w:color w:val="1f1f1f"/>
          <w:rtl w:val="0"/>
        </w:rPr>
        <w:t xml:space="preserve"> To measure performance within the strict </w:t>
      </w:r>
      <w:r w:rsidDel="00000000" w:rsidR="00000000" w:rsidRPr="00000000">
        <w:rPr>
          <w:rFonts w:ascii="Google Sans" w:cs="Google Sans" w:eastAsia="Google Sans" w:hAnsi="Google Sans"/>
          <w:color w:val="1f1f1f"/>
        </w:rPr>
        <w:drawing>
          <wp:inline distB="19050" distT="19050" distL="19050" distR="19050">
            <wp:extent cx="702072" cy="23402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02072" cy="234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budget, the Agent maintains an in-memory, thread-safe ring buffer of the last </w:t>
      </w:r>
      <w:r w:rsidDel="00000000" w:rsidR="00000000" w:rsidRPr="00000000">
        <w:rPr>
          <w:rFonts w:ascii="Google Sans" w:cs="Google Sans" w:eastAsia="Google Sans" w:hAnsi="Google Sans"/>
          <w:color w:val="1f1f1f"/>
        </w:rPr>
        <w:drawing>
          <wp:inline distB="19050" distT="19050" distL="19050" distR="19050">
            <wp:extent cx="406400" cy="23495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64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frame lifetimes. This metrics pipeline utilizes the CPU's invariant monotonic clock (std::time::Instant) to prevent time distortion from NTP adjustments.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Metric Target Breakdown:</w:t>
        <w:br w:type="textWrapping"/>
        <w:t xml:space="preserve">[Capture: ≤2ms] -&gt; [CSC/Pre-process: ≤1.5ms] -&gt; [Encode: ≤8ms] -&gt; [Transit: Var] -&gt; [Decode: ≤8ms] -&gt; [Render: ≤5ms]</w:t>
        <w:br w:type="textWrapping"/>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Crash Dump Extraction:</w:t>
      </w:r>
      <w:r w:rsidDel="00000000" w:rsidR="00000000" w:rsidRPr="00000000">
        <w:rPr>
          <w:rFonts w:ascii="Google Sans" w:cs="Google Sans" w:eastAsia="Google Sans" w:hAnsi="Google Sans"/>
          <w:color w:val="1f1f1f"/>
          <w:rtl w:val="0"/>
        </w:rPr>
        <w:t xml:space="preserve"> In the event of an unhandled panic or native crash, the Agent utilizes a custom wrapper around minidump-writer (Rust) to write a secure, scrubbed minidump. The crash reporter strips raw memory blocks and environment variables to prevent the accidental capture of secrets (e.g., encryption keys or clipboard contents).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WP-2.10: Agent Runtime Architecture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Problem Definition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attacker compromising the user-space Console session must not gain SYSTEM/root access to the host machine. Conversely, a privileged Agent background service must interface with active user sessions (to capture screen content and inject inputs) without introducing local privilege escalation (LPE) vectors.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Multi-Process Separation Model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enforce least privilege, the Blackwing Agent is segmented into three distinct processes with strict IPC boundaries: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1. BLACKWING SERVICE (SYSTEM / root)                                             |</w:t>
        <w:br w:type="textWrapping"/>
        <w:t xml:space="preserve">|     - Manages background lifecycle.                                               |</w:t>
        <w:br w:type="textWrapping"/>
        <w:t xml:space="preserve">|     - Spawns Session Runner on secure user login.                                 |</w:t>
        <w:br w:type="textWrapping"/>
        <w:t xml:space="preserve">|     - Listens on highly restricted IPC Named Pipe (DACL enforced).                |</w:t>
        <w:br w:type="textWrapping"/>
        <w:t xml:space="preserve">+-----------------------------------------------------------------------------------+</w:t>
        <w:br w:type="textWrapping"/>
        <w:t xml:space="preserve">                                  │</w:t>
        <w:br w:type="textWrapping"/>
        <w:t xml:space="preserve">                                  ▼ (Secure Local IPC)</w:t>
        <w:br w:type="textWrapping"/>
        <w:t xml:space="preserve">+-----------------------------------------------------------------------------------+</w:t>
        <w:br w:type="textWrapping"/>
        <w:t xml:space="preserve">|  2. SESSION RUNNER (Active User Context)                                          |</w:t>
        <w:br w:type="textWrapping"/>
        <w:t xml:space="preserve">|     - Executes frame capture (DXGI / PipeWire).                                   |</w:t>
        <w:br w:type="textWrapping"/>
        <w:t xml:space="preserve">|     - Executes GPU hardware encoding.                                             |</w:t>
        <w:br w:type="textWrapping"/>
        <w:t xml:space="preserve">|     - Encapsulates cryptographic session state.                                    |</w:t>
        <w:br w:type="textWrapping"/>
        <w:t xml:space="preserve">+-----------------------------------------------------------------------------------+</w:t>
        <w:br w:type="textWrapping"/>
        <w:t xml:space="preserve">                                  ▲</w:t>
        <w:br w:type="textWrapping"/>
        <w:t xml:space="preserve">                                  │ (Strictly bounded user interactions)</w:t>
        <w:br w:type="textWrapping"/>
        <w:t xml:space="preserve">+-----------------------------------------------------------------------------------+</w:t>
        <w:br w:type="textWrapping"/>
        <w:t xml:space="preserve">|  3. USER SYSTEM TRAY / GUI (Non-Privileged User Context)                          |</w:t>
        <w:br w:type="textWrapping"/>
        <w:t xml:space="preserve">|     - Handles local settings presentation, notifications, and interactive prompts. |</w:t>
        <w:br w:type="textWrapping"/>
        <w:t xml:space="preserve">+-----------------------------------------------------------------------------------+</w:t>
        <w:br w:type="textWrapping"/>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Secure Local IPC:</w:t>
      </w:r>
      <w:r w:rsidDel="00000000" w:rsidR="00000000" w:rsidRPr="00000000">
        <w:rPr>
          <w:rFonts w:ascii="Google Sans" w:cs="Google Sans" w:eastAsia="Google Sans" w:hAnsi="Google Sans"/>
          <w:color w:val="1f1f1f"/>
          <w:rtl w:val="0"/>
        </w:rPr>
        <w:t xml:space="preserve"> Communication between processes uses OS-native local IPC mechanisms (Windows Named Pipes with strict Discretionary Access Control Lists [DACLs] allowing access only to SYSTEM and the active logged-in User; Unix Domain Sockets with permissions locked to 0600).</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Automatic Update Pipeline:</w:t>
      </w:r>
      <w:r w:rsidDel="00000000" w:rsidR="00000000" w:rsidRPr="00000000">
        <w:rPr>
          <w:rFonts w:ascii="Google Sans" w:cs="Google Sans" w:eastAsia="Google Sans" w:hAnsi="Google Sans"/>
          <w:color w:val="1f1f1f"/>
          <w:rtl w:val="0"/>
        </w:rPr>
        <w:t xml:space="preserve"> The update service is managed exclusively by the privileged background service:</w:t>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The update manifest and binary are downloaded by the user-space process.</w:t>
      </w:r>
    </w:p>
    <w:p w:rsidR="00000000" w:rsidDel="00000000" w:rsidP="00000000" w:rsidRDefault="00000000" w:rsidRPr="00000000" w14:paraId="0000002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update payload is handed to the background service, which verifies the cryptographic signature against an embedded, read-only hardware-root-of-trust public key.</w:t>
      </w:r>
    </w:p>
    <w:p w:rsidR="00000000" w:rsidDel="00000000" w:rsidP="00000000" w:rsidRDefault="00000000" w:rsidRPr="00000000" w14:paraId="0000002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If verified, the service stops active components, applies the patch, and performs an atomic directory swap.</w:t>
      </w:r>
    </w:p>
    <w:p w:rsidR="00000000" w:rsidDel="00000000" w:rsidP="00000000" w:rsidRDefault="00000000" w:rsidRPr="00000000" w14:paraId="00000023">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If the updated binary fails its internal health check within </w:t>
      </w:r>
      <w:r w:rsidDel="00000000" w:rsidR="00000000" w:rsidRPr="00000000">
        <w:rPr>
          <w:rFonts w:ascii="Google Sans" w:cs="Google Sans" w:eastAsia="Google Sans" w:hAnsi="Google Sans"/>
          <w:color w:val="1f1f1f"/>
        </w:rPr>
        <w:drawing>
          <wp:inline distB="19050" distT="19050" distL="19050" distR="19050">
            <wp:extent cx="901700" cy="23495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017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execution, the service automatically rolls back to the previous stable state cached in a read-only backup directory.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WP-2.11: Failure Recovery &amp; Resilience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Problem Definition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dropouts, power events, OS driver crashes, or thread-level panics must not result in permanent loss of remote control. The system must degrade gracefully and reconnect automatically while preserving absolute security guarantees.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State Recovery Machine &amp; Reconnection Budget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network interruption occurs, the Console and Agent enter a specialized, low-overhead reconnection state machine: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Session Established   |</w:t>
        <w:br w:type="textWrapping"/>
        <w:t xml:space="preserve">                  +──────────────────────────+</w:t>
        <w:br w:type="textWrapping"/>
        <w:t xml:space="preserve">                               │</w:t>
        <w:br w:type="textWrapping"/>
        <w:t xml:space="preserve">                               ▼ (Connection Lost Event)</w:t>
        <w:br w:type="textWrapping"/>
        <w:t xml:space="preserve">                  +──────────────────────────+</w:t>
        <w:br w:type="textWrapping"/>
        <w:t xml:space="preserve">                  |      SUSPENDED STATE     |  ◄─── Maintain cryptographic</w:t>
        <w:br w:type="textWrapping"/>
        <w:t xml:space="preserve">                  |  - Unreliable UDP drops  |       session keys in RAM</w:t>
        <w:br w:type="textWrapping"/>
        <w:t xml:space="preserve">                  |  - Buffer output queues  |       for 60 seconds</w:t>
        <w:br w:type="textWrapping"/>
        <w:t xml:space="preserve">                  +──────────────────────────+</w:t>
        <w:br w:type="textWrapping"/>
        <w:t xml:space="preserve">                               │</w:t>
        <w:br w:type="textWrapping"/>
        <w:t xml:space="preserve">            ┌──────────────────┴──────────────────┐</w:t>
        <w:br w:type="textWrapping"/>
        <w:t xml:space="preserve">            ▼ (Within 60s)                        ▼ (Timeout Elapsed)</w:t>
        <w:br w:type="textWrapping"/>
        <w:t xml:space="preserve">+──────────────────────────+            +──────────────────────────+</w:t>
        <w:br w:type="textWrapping"/>
        <w:t xml:space="preserve">|      FAST RESUME         |            |     TERMINATE SESSION    |</w:t>
        <w:br w:type="textWrapping"/>
        <w:t xml:space="preserve">| - Verify session nonce   |            | - Flush RAM keys         |</w:t>
        <w:br w:type="textWrapping"/>
        <w:t xml:space="preserve">| - Keep existing TLS context           | - Purge state            |</w:t>
        <w:br w:type="textWrapping"/>
        <w:t xml:space="preserve">+──────────────────────────+            +──────────────────────────+</w:t>
        <w:br w:type="textWrapping"/>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Fast Session Resumption (Within </w:t>
      </w:r>
      <w:r w:rsidDel="00000000" w:rsidR="00000000" w:rsidRPr="00000000">
        <w:rPr>
          <w:rFonts w:ascii="Google Sans" w:cs="Google Sans" w:eastAsia="Google Sans" w:hAnsi="Google Sans"/>
          <w:b w:val="1"/>
          <w:bCs w:val="1"/>
          <w:color w:val="1f1f1f"/>
        </w:rPr>
        <w:drawing>
          <wp:inline distB="19050" distT="19050" distL="19050" distR="19050">
            <wp:extent cx="1108472" cy="23571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108472" cy="2357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Standard renegotiation and </w:t>
      </w:r>
      <w:r w:rsidDel="00000000" w:rsidR="00000000" w:rsidRPr="00000000">
        <w:rPr>
          <w:rFonts w:ascii="Google Sans" w:cs="Google Sans" w:eastAsia="Google Sans" w:hAnsi="Google Sans"/>
          <w:color w:val="1f1f1f"/>
        </w:rPr>
        <w:drawing>
          <wp:inline distB="19050" distT="19050" distL="19050" distR="19050">
            <wp:extent cx="590550" cy="23495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05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handshakes introduce massive latency spikes. In a fast resume scenario, the existing cryptographic session keys are preserved in memory. Upon link restoration, a simplified, single-packet verification challenge exchanges incremented cryptographic nonces to authenticate the peer and instantly resume the session.</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Reconnection Budget:</w:t>
      </w:r>
    </w:p>
    <w:p w:rsidR="00000000" w:rsidDel="00000000" w:rsidP="00000000" w:rsidRDefault="00000000" w:rsidRPr="00000000" w14:paraId="0000002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Phase A (0–15s):</w:t>
      </w:r>
      <w:r w:rsidDel="00000000" w:rsidR="00000000" w:rsidRPr="00000000">
        <w:rPr>
          <w:rFonts w:ascii="Google Sans" w:cs="Google Sans" w:eastAsia="Google Sans" w:hAnsi="Google Sans"/>
          <w:color w:val="1f1f1f"/>
          <w:rtl w:val="0"/>
        </w:rPr>
        <w:t xml:space="preserve"> Aggressive retry interval (every </w:t>
      </w:r>
      <w:r w:rsidDel="00000000" w:rsidR="00000000" w:rsidRPr="00000000">
        <w:rPr>
          <w:rFonts w:ascii="Google Sans" w:cs="Google Sans" w:eastAsia="Google Sans" w:hAnsi="Google Sans"/>
          <w:color w:val="1f1f1f"/>
        </w:rPr>
        <w:drawing>
          <wp:inline distB="19050" distT="19050" distL="19050" distR="19050">
            <wp:extent cx="958853" cy="234951"/>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958853" cy="234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attempting direct P2P connection migration.</w:t>
      </w:r>
    </w:p>
    <w:p w:rsidR="00000000" w:rsidDel="00000000" w:rsidP="00000000" w:rsidRDefault="00000000" w:rsidRPr="00000000" w14:paraId="0000002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Phase B (15–60s):</w:t>
      </w:r>
      <w:r w:rsidDel="00000000" w:rsidR="00000000" w:rsidRPr="00000000">
        <w:rPr>
          <w:rFonts w:ascii="Google Sans" w:cs="Google Sans" w:eastAsia="Google Sans" w:hAnsi="Google Sans"/>
          <w:color w:val="1f1f1f"/>
          <w:rtl w:val="0"/>
        </w:rPr>
        <w:t xml:space="preserve"> Backoff retry interval (every </w:t>
      </w:r>
      <w:r w:rsidDel="00000000" w:rsidR="00000000" w:rsidRPr="00000000">
        <w:rPr>
          <w:rFonts w:ascii="Google Sans" w:cs="Google Sans" w:eastAsia="Google Sans" w:hAnsi="Google Sans"/>
          <w:color w:val="1f1f1f"/>
        </w:rPr>
        <w:drawing>
          <wp:inline distB="19050" distT="19050" distL="19050" distR="19050">
            <wp:extent cx="800100" cy="23495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8001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initiating TURN / Reliable Relay fallback.</w:t>
      </w:r>
    </w:p>
    <w:p w:rsidR="00000000" w:rsidDel="00000000" w:rsidP="00000000" w:rsidRDefault="00000000" w:rsidRPr="00000000" w14:paraId="0000002E">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Phase C (&gt;60s):</w:t>
      </w:r>
      <w:r w:rsidDel="00000000" w:rsidR="00000000" w:rsidRPr="00000000">
        <w:rPr>
          <w:rFonts w:ascii="Google Sans" w:cs="Google Sans" w:eastAsia="Google Sans" w:hAnsi="Google Sans"/>
          <w:color w:val="1f1f1f"/>
          <w:rtl w:val="0"/>
        </w:rPr>
        <w:t xml:space="preserve"> Terminate active session, purge RAM keys, and return Agent and Console state machines to IDLE.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Decision Records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ADR-008: Policy Evaluation and Engine Architecture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ADR-008: Policy Evaluation and Engine Architecture</w:t>
        <w:br w:type="textWrapping"/>
        <w:br w:type="textWrapping"/>
        <w:t xml:space="preserve">## Status</w:t>
        <w:br w:type="textWrapping"/>
        <w:t xml:space="preserve">Proposed (Pending Validation)</w:t>
        <w:br w:type="textWrapping"/>
        <w:br w:type="textWrapping"/>
        <w:t xml:space="preserve">## Context</w:t>
        <w:br w:type="textWrapping"/>
        <w:t xml:space="preserve">Blackwing requires highly restricted feature controls (e.g., file transfer, clipboard sharing) in enterprise environments. These controls must be evaluated with microsecond latency during active sessions and must operate securely when the target agent is offline or isolated from the central Identity Plane.</w:t>
        <w:br w:type="textWrapping"/>
        <w:br w:type="textWrapping"/>
        <w:t xml:space="preserve">## Decision</w:t>
        <w:br w:type="textWrapping"/>
        <w:t xml:space="preserve">1. **Offline-First Cryptographic Cache:** Policies will be issued as signed JSON payloads by the Identity Plane and cached locally on the Agent in an encrypted SQLite database.</w:t>
        <w:br w:type="textWrapping"/>
        <w:t xml:space="preserve">2. **In-Memory Trie Representation:** During Agent runtime, the active policy is held as an immutable, in-memory structured trie evaluated in $O(1)$ time relative to session requests.</w:t>
        <w:br w:type="textWrapping"/>
        <w:t xml:space="preserve">3. **Strict Fallback Policy:** If the local cache is corrupted or signature validation fails, the Agent defaults to the absolute "Zero-Trust Deny-All" baseline (disabling all data transfer, clipboard synchronization, and secondary inputs).</w:t>
        <w:br w:type="textWrapping"/>
        <w:br w:type="textWrapping"/>
        <w:t xml:space="preserve">## Rationale</w:t>
        <w:br w:type="textWrapping"/>
        <w:t xml:space="preserve">Using an offline-cached, signed model eliminates dependency on continuous network access to the Identity Plane during session execution, making the platform resilient to WAN outages while guaranteeing policy enforcement through cryptographic verification.</w:t>
        <w:br w:type="textWrapping"/>
        <w:br w:type="textWrapping"/>
        <w:t xml:space="preserve">## Consequences</w:t>
        <w:br w:type="textWrapping"/>
        <w:t xml:space="preserve">- **Positive:** Sub-microsecond policy evaluation times; absolute resilience to WAN failures.</w:t>
        <w:br w:type="textWrapping"/>
        <w:t xml:space="preserve">- **Negative:** Updates to policies made in the Identity Plane Console will experience propagation delay, requiring the Agent to check for updates on its control plane heartbeats.</w:t>
        <w:br w:type="textWrapping"/>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ADR-009: Observability and Telemetry Framework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ADR-009: Observability and Telemetry Framework</w:t>
        <w:br w:type="textWrapping"/>
        <w:br w:type="textWrapping"/>
        <w:t xml:space="preserve">## Status</w:t>
        <w:br w:type="textWrapping"/>
        <w:t xml:space="preserve">Proposed (Pending Validation)</w:t>
        <w:br w:type="textWrapping"/>
        <w:br w:type="textWrapping"/>
        <w:t xml:space="preserve">## Context</w:t>
        <w:br w:type="textWrapping"/>
        <w:t xml:space="preserve">To optimize and validate the $\le 50\text{ ms}$ latency budget, we require rich logging and performance metrics without exposing sensitive user inputs or session payloads, adhering to our privacy-by-default architecture.</w:t>
        <w:br w:type="textWrapping"/>
        <w:br w:type="textWrapping"/>
        <w:t xml:space="preserve">## Decision</w:t>
        <w:br w:type="textWrapping"/>
        <w:t xml:space="preserve">1. **Asynchronous Structured Logging:** Implement structured JSON logging using the Rust `tracing` ecosystem, running on a dedicated thread to ensure zero blocking of the rendering or network pipelines.</w:t>
        <w:br w:type="textWrapping"/>
        <w:t xml:space="preserve">2. **In-Memory Diagnostic Ring Buffer:** Maintain a fixed-size, lock-free ring buffer of the last $1000$ frame performance metrics on the Agent using CPU monotonic clocks.</w:t>
        <w:br w:type="textWrapping"/>
        <w:t xml:space="preserve">3. **Scrubbed Minidumps:** Crash reporting will utilize native, local minidump generation where all memory allocations, clipboard caches, and system environments are cryptographically scrubbed before storage or transmission.</w:t>
        <w:br w:type="textWrapping"/>
        <w:br w:type="textWrapping"/>
        <w:t xml:space="preserve">## Rationale</w:t>
        <w:br w:type="textWrapping"/>
        <w:t xml:space="preserve">This architecture ensures that troubleshooting does not compromise end-user privacy or introduce performance degradation into the low-latency capture and transport pipelines.</w:t>
        <w:br w:type="textWrapping"/>
        <w:br w:type="textWrapping"/>
        <w:t xml:space="preserve">## Consequences</w:t>
        <w:br w:type="textWrapping"/>
        <w:t xml:space="preserve">- **Positive:** High performance; deterministic performance budget auditing; privacy-safe crash logging.</w:t>
        <w:br w:type="textWrapping"/>
        <w:t xml:space="preserve">- **Negative:** Aggregating complex performance trace information requires client-side processing, slightly increasing the memory footprint of the diagnostic thread.</w:t>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ADR-010: Agent Runtime Process and Isolation Model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ADR-010: Agent Runtime Process and Isolation Model</w:t>
        <w:br w:type="textWrapping"/>
        <w:br w:type="textWrapping"/>
        <w:t xml:space="preserve">## Status</w:t>
        <w:br w:type="textWrapping"/>
        <w:t xml:space="preserve">Proposed (Pending Validation)</w:t>
        <w:br w:type="textWrapping"/>
        <w:br w:type="textWrapping"/>
        <w:t xml:space="preserve">## Context</w:t>
        <w:br w:type="textWrapping"/>
        <w:t xml:space="preserve">Operating system integrations (screen capture, input injection) require running with high privileges (SYSTEM on Windows, root on Linux). Running the entire network-facing stack, cryptographic parser, and GUI under these elevated privileges introduces a massive LPE (Local Privilege Escalation) attack surface.</w:t>
        <w:br w:type="textWrapping"/>
        <w:br w:type="textWrapping"/>
        <w:t xml:space="preserve">## Decision</w:t>
        <w:br w:type="textWrapping"/>
        <w:t xml:space="preserve">1. **Multi-Process Architecture:** Split the Agent runtime into three distinct processes:</w:t>
        <w:br w:type="textWrapping"/>
        <w:t xml:space="preserve">   - *Blackwing Service (SYSTEM/root):* Extremely small surface area, handles service lifecycle and updates.</w:t>
        <w:br w:type="textWrapping"/>
        <w:t xml:space="preserve">   - *Session Runner (User Context):* Runs capture, compression, and network transport under the active user's permissions.</w:t>
        <w:br w:type="textWrapping"/>
        <w:t xml:space="preserve">   - *User GUI (Non-privileged Context):* Handles tray interface and notifications.</w:t>
        <w:br w:type="textWrapping"/>
        <w:t xml:space="preserve">2. **Restricted Local IPC:** Communication between processes is restricted to Named Pipes with secure DACLs (Windows) and Unix Domain Sockets with `0600` permissions (Linux).</w:t>
        <w:br w:type="textWrapping"/>
        <w:t xml:space="preserve">3. **Root-of-Trust Updates:** The background service applies updates only after validating payload signatures against an embedded public key. Failures trigger an atomic fallback rollback within $15\text{ seconds}$.</w:t>
        <w:br w:type="textWrapping"/>
        <w:br w:type="textWrapping"/>
        <w:t xml:space="preserve">## Rationale</w:t>
        <w:br w:type="textWrapping"/>
        <w:t xml:space="preserve">By stripping privileged access from the network-facing Session Runner, we drastically limit the exploit surface. An attacker exploiting a network vulnerability cannot easily execute code outside of the unprivileged User context.</w:t>
        <w:br w:type="textWrapping"/>
        <w:br w:type="textWrapping"/>
        <w:t xml:space="preserve">## Consequences</w:t>
        <w:br w:type="textWrapping"/>
        <w:t xml:space="preserve">- **Positive:** Solid defense-in-depth security posture; protection against supply-chain updates via cryptographic verification.</w:t>
        <w:br w:type="textWrapping"/>
        <w:t xml:space="preserve">- **Negative:** Multi-process coordination introduces IPC latency and increases the engineering complexity of sharing GPU textures between processes (requiring shared memory handles).</w:t>
        <w:br w:type="textWrapping"/>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ADR-011: Fault Tolerance and Recovery Policies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ADR-011: Fault Tolerance and Recovery Policies</w:t>
        <w:br w:type="textWrapping"/>
        <w:br w:type="textWrapping"/>
        <w:t xml:space="preserve">## Status</w:t>
        <w:br w:type="textWrapping"/>
        <w:t xml:space="preserve">Proposed (Pending Validation)</w:t>
        <w:br w:type="textWrapping"/>
        <w:br w:type="textWrapping"/>
        <w:t xml:space="preserve">## Context</w:t>
        <w:br w:type="textWrapping"/>
        <w:t xml:space="preserve">Remote sessions must tolerate network degradation, adapter switches, and runtime crashes without requiring manual intervention from the host machine or Console operator.</w:t>
        <w:br w:type="textWrapping"/>
        <w:br w:type="textWrapping"/>
        <w:t xml:space="preserve">## Decision</w:t>
        <w:br w:type="textWrapping"/>
        <w:t xml:space="preserve">1. **Cryptographic Suspend State:** When a network disconnect is detected, the Agent and Console hold the active session key context in volatile RAM for exactly $60\text{ seconds}$ before permanent teardown.</w:t>
        <w:br w:type="textWrapping"/>
        <w:t xml:space="preserve">2. **Fast Resumption Handshake:** Realize sub-second session resumption within the $60\text{ second}$ window by executing a single-packet challenge-response exchanging incremented nonces, rather than running a full TLS handshake.</w:t>
        <w:br w:type="textWrapping"/>
        <w:t xml:space="preserve">3. **Exponential Backoff and P2P Fallback:** Reconnection attempts will progressively back off, attempting P2P connection migration before executing a seamless drop-down to TURN relays or TCP/TLS fallback.</w:t>
        <w:br w:type="textWrapping"/>
        <w:br w:type="textWrapping"/>
        <w:t xml:space="preserve">## Rationale</w:t>
        <w:br w:type="textWrapping"/>
        <w:t xml:space="preserve">Retaining the cryptographic context in memory allows the application to recover instantly from short-lived dropouts (common on mobile and high-jitter connections) without degrading user experience or sacrificing cryptographic security.</w:t>
        <w:br w:type="textWrapping"/>
        <w:br w:type="textWrapping"/>
        <w:t xml:space="preserve">## Consequences</w:t>
        <w:br w:type="textWrapping"/>
        <w:t xml:space="preserve">- **Positive:** Seamless user experience across cellular and unstable networks; zero visual state decay.</w:t>
        <w:br w:type="textWrapping"/>
        <w:t xml:space="preserve">- **Negative:** Retaining session keys in memory for $60\text{ seconds}$ post-disconnect extends the active key lifespan slightly, though this risk is mitigated by zeroing memory immediately upon timeout or formal termination.</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