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Blackwing Architecture Baseline &amp; RFC Suite (BW-RFC-004 - 015)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Version: 1.0.0 | Status: Accepted (Architecture Baseline)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Editors: Principal Systems Engineering, Security, &amp; Network Architecture Groups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Cryptographic &amp; Protocol Corrections (RFC Standard)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Canonical Device ID Calculation (Corrected)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correct the SEC1 Weierstrass curve reference, the canonical Device ID calculation is now strictly bound to raw Ed25519 byte octets: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753100" cy="82550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53100" cy="82550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PublicKeyBytes:</w:t>
      </w:r>
      <w:r w:rsidDel="00000000" w:rsidR="00000000" w:rsidRPr="00000000">
        <w:rPr>
          <w:rFonts w:ascii="Google Sans" w:cs="Google Sans" w:eastAsia="Google Sans" w:hAnsi="Google Sans"/>
          <w:color w:val="1f1f1f"/>
          <w:rtl w:val="0"/>
        </w:rPr>
        <w:t xml:space="preserve"> The raw, compressed </w:t>
      </w:r>
      <w:r w:rsidDel="00000000" w:rsidR="00000000" w:rsidRPr="00000000">
        <w:rPr>
          <w:rFonts w:ascii="Google Sans" w:cs="Google Sans" w:eastAsia="Google Sans" w:hAnsi="Google Sans"/>
          <w:color w:val="1f1f1f"/>
        </w:rPr>
        <w:drawing>
          <wp:inline distB="19050" distT="19050" distL="19050" distR="19050">
            <wp:extent cx="203200" cy="242529"/>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3200" cy="24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-byte representation of the Ed25519 public key.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Hash:</w:t>
      </w:r>
      <w:r w:rsidDel="00000000" w:rsidR="00000000" w:rsidRPr="00000000">
        <w:rPr>
          <w:rFonts w:ascii="Google Sans" w:cs="Google Sans" w:eastAsia="Google Sans" w:hAnsi="Google Sans"/>
          <w:color w:val="1f1f1f"/>
          <w:rtl w:val="0"/>
        </w:rPr>
        <w:t xml:space="preserve"> SHA-256 is computed over exactly these </w:t>
      </w:r>
      <w:r w:rsidDel="00000000" w:rsidR="00000000" w:rsidRPr="00000000">
        <w:rPr>
          <w:rFonts w:ascii="Google Sans" w:cs="Google Sans" w:eastAsia="Google Sans" w:hAnsi="Google Sans"/>
          <w:color w:val="1f1f1f"/>
        </w:rPr>
        <w:drawing>
          <wp:inline distB="19050" distT="19050" distL="19050" distR="19050">
            <wp:extent cx="203200" cy="242529"/>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3200" cy="24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Format:</w:t>
      </w:r>
      <w:r w:rsidDel="00000000" w:rsidR="00000000" w:rsidRPr="00000000">
        <w:rPr>
          <w:rFonts w:ascii="Google Sans" w:cs="Google Sans" w:eastAsia="Google Sans" w:hAnsi="Google Sans"/>
          <w:color w:val="1f1f1f"/>
          <w:rtl w:val="0"/>
        </w:rPr>
        <w:t xml:space="preserve"> Rendered as </w:t>
      </w:r>
      <w:r w:rsidDel="00000000" w:rsidR="00000000" w:rsidRPr="00000000">
        <w:rPr>
          <w:rFonts w:ascii="Google Sans" w:cs="Google Sans" w:eastAsia="Google Sans" w:hAnsi="Google Sans"/>
          <w:color w:val="1f1f1f"/>
        </w:rPr>
        <w:drawing>
          <wp:inline distB="19050" distT="19050" distL="19050" distR="19050">
            <wp:extent cx="203200" cy="242529"/>
            <wp:effectExtent b="0" l="0" r="0" t="0"/>
            <wp:docPr id="1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03200" cy="24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lowercase hexadecimal characters, prefixed with bw-id- to yield a unique </w:t>
      </w:r>
      <w:r w:rsidDel="00000000" w:rsidR="00000000" w:rsidRPr="00000000">
        <w:rPr>
          <w:rFonts w:ascii="Google Sans" w:cs="Google Sans" w:eastAsia="Google Sans" w:hAnsi="Google Sans"/>
          <w:color w:val="1f1f1f"/>
        </w:rPr>
        <w:drawing>
          <wp:inline distB="19050" distT="19050" distL="19050" distR="19050">
            <wp:extent cx="203200" cy="242529"/>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03200" cy="24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-character string.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Authorization Token Specification (JWS)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JWT/JWE ambiguity, the Control Plane issues a signed JSON Web Signature (JWS) according to RFC 7515. The JWS utilizes the EdDSA signature algorithm with the Control Plane’s long-term private Ed25519 key. Relays authenticate incoming connections by verifying this JWS against the Control Plane’s public key.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OPAQUE Credential Source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OPAQUE asymmetric PAKE handshake executed over Stream 0 authenticates the </w:t>
      </w:r>
      <w:r w:rsidDel="00000000" w:rsidR="00000000" w:rsidRPr="00000000">
        <w:rPr>
          <w:rFonts w:ascii="Google Sans" w:cs="Google Sans" w:eastAsia="Google Sans" w:hAnsi="Google Sans"/>
          <w:b w:val="1"/>
          <w:bCs w:val="1"/>
          <w:color w:val="1f1f1f"/>
          <w:rtl w:val="0"/>
        </w:rPr>
        <w:t xml:space="preserve">Local Device Operator Session Secret</w:t>
      </w:r>
      <w:r w:rsidDel="00000000" w:rsidR="00000000" w:rsidRPr="00000000">
        <w:rPr>
          <w:rFonts w:ascii="Google Sans" w:cs="Google Sans" w:eastAsia="Google Sans" w:hAnsi="Google Sans"/>
          <w:color w:val="1f1f1f"/>
          <w:rtl w:val="0"/>
        </w:rPr>
        <w:t xml:space="preserve">. This secret is established during first-time device enrollment via out-of-band MFA or enterprise SSO, and serves as the cryptographic trust anchor for subsequent session authorizations.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QUIC Packet Congestion &amp; Replay Window</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Datagram Size:</w:t>
      </w:r>
      <w:r w:rsidDel="00000000" w:rsidR="00000000" w:rsidRPr="00000000">
        <w:rPr>
          <w:rFonts w:ascii="Google Sans" w:cs="Google Sans" w:eastAsia="Google Sans" w:hAnsi="Google Sans"/>
          <w:color w:val="1f1f1f"/>
          <w:rtl w:val="0"/>
        </w:rPr>
        <w:t xml:space="preserve"> Hard-capped at </w:t>
      </w:r>
      <w:r w:rsidDel="00000000" w:rsidR="00000000" w:rsidRPr="00000000">
        <w:rPr>
          <w:rFonts w:ascii="Google Sans" w:cs="Google Sans" w:eastAsia="Google Sans" w:hAnsi="Google Sans"/>
          <w:color w:val="1f1f1f"/>
        </w:rPr>
        <w:drawing>
          <wp:inline distB="19050" distT="19050" distL="19050" distR="19050">
            <wp:extent cx="908050" cy="236604"/>
            <wp:effectExtent b="0" l="0" r="0" t="0"/>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08050" cy="23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guarantee transmission through standard Internet MTU paths without triggering IP fragmentation.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Replay Protection Window:</w:t>
      </w:r>
      <w:r w:rsidDel="00000000" w:rsidR="00000000" w:rsidRPr="00000000">
        <w:rPr>
          <w:rFonts w:ascii="Google Sans" w:cs="Google Sans" w:eastAsia="Google Sans" w:hAnsi="Google Sans"/>
          <w:color w:val="1f1f1f"/>
          <w:rtl w:val="0"/>
        </w:rPr>
        <w:t xml:space="preserve"> Stream 2 (Datagrams) implements a sliding bitmask replay window of size </w:t>
      </w:r>
      <w:r w:rsidDel="00000000" w:rsidR="00000000" w:rsidRPr="00000000">
        <w:rPr>
          <w:rFonts w:ascii="Google Sans" w:cs="Google Sans" w:eastAsia="Google Sans" w:hAnsi="Google Sans"/>
          <w:color w:val="1f1f1f"/>
        </w:rPr>
        <w:drawing>
          <wp:inline distB="19050" distT="19050" distL="19050" distR="19050">
            <wp:extent cx="644425" cy="246398"/>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4425" cy="246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Any packet arriving with a sequence number </w:t>
      </w:r>
      <w:r w:rsidDel="00000000" w:rsidR="00000000" w:rsidRPr="00000000">
        <w:rPr>
          <w:rFonts w:ascii="Google Sans" w:cs="Google Sans" w:eastAsia="Google Sans" w:hAnsi="Google Sans"/>
          <w:color w:val="1f1f1f"/>
        </w:rPr>
        <w:drawing>
          <wp:inline distB="19050" distT="19050" distL="19050" distR="19050">
            <wp:extent cx="1226249" cy="247791"/>
            <wp:effectExtent b="0" l="0" r="0" t="0"/>
            <wp:docPr id="1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226249" cy="247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whose sequence bit is already set is discarded immediately.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Expanded Technical RFC Suite (BW-RFC-004 - BW-RFC-015)</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BW-RFC-004: Congestion Control &amp; Adaptive Bitrate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BBR Engine Integration:</w:t>
      </w:r>
      <w:r w:rsidDel="00000000" w:rsidR="00000000" w:rsidRPr="00000000">
        <w:rPr>
          <w:rFonts w:ascii="Google Sans" w:cs="Google Sans" w:eastAsia="Google Sans" w:hAnsi="Google Sans"/>
          <w:color w:val="1f1f1f"/>
          <w:rtl w:val="0"/>
        </w:rPr>
        <w:t xml:space="preserve"> Tracks real-time Bottleneck Bandwidth (</w:t>
      </w:r>
      <w:r w:rsidDel="00000000" w:rsidR="00000000" w:rsidRPr="00000000">
        <w:rPr>
          <w:rFonts w:ascii="Google Sans" w:cs="Google Sans" w:eastAsia="Google Sans" w:hAnsi="Google Sans"/>
          <w:color w:val="1f1f1f"/>
        </w:rPr>
        <w:drawing>
          <wp:inline distB="19050" distT="19050" distL="19050" distR="19050">
            <wp:extent cx="489446" cy="251163"/>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9446" cy="2511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Round-Trip Time (</w:t>
      </w:r>
      <w:r w:rsidDel="00000000" w:rsidR="00000000" w:rsidRPr="00000000">
        <w:rPr>
          <w:rFonts w:ascii="Google Sans" w:cs="Google Sans" w:eastAsia="Google Sans" w:hAnsi="Google Sans"/>
          <w:color w:val="1f1f1f"/>
        </w:rPr>
        <w:drawing>
          <wp:inline distB="19050" distT="19050" distL="19050" distR="19050">
            <wp:extent cx="646509" cy="247195"/>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46509" cy="247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Bitrate Formula:</w:t>
      </w:r>
      <w:r w:rsidDel="00000000" w:rsidR="00000000" w:rsidRPr="00000000">
        <w:rPr>
          <w:rFonts w:ascii="Google Sans" w:cs="Google Sans" w:eastAsia="Google Sans" w:hAnsi="Google Sans"/>
          <w:color w:val="1f1f1f"/>
          <w:rtl w:val="0"/>
        </w:rPr>
        <w:t xml:space="preserve"> The system dynamically adjusts the target encoding bitrate (</w:t>
      </w:r>
      <w:r w:rsidDel="00000000" w:rsidR="00000000" w:rsidRPr="00000000">
        <w:rPr>
          <w:rFonts w:ascii="Google Sans" w:cs="Google Sans" w:eastAsia="Google Sans" w:hAnsi="Google Sans"/>
          <w:color w:val="1f1f1f"/>
        </w:rPr>
        <w:drawing>
          <wp:inline distB="19050" distT="19050" distL="19050" distR="19050">
            <wp:extent cx="536774" cy="249216"/>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6774" cy="249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active link capacity:</w:t>
      </w:r>
      <w:r w:rsidDel="00000000" w:rsidR="00000000" w:rsidRPr="00000000">
        <w:rPr>
          <w:rFonts w:ascii="Google Sans" w:cs="Google Sans" w:eastAsia="Google Sans" w:hAnsi="Google Sans"/>
          <w:color w:val="1f1f1f"/>
        </w:rPr>
        <w:drawing>
          <wp:inline distB="19050" distT="19050" distL="19050" distR="19050">
            <wp:extent cx="5457825" cy="724321"/>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57825" cy="72432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Quantization Parameter (QP) Loop:</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536774" cy="249216"/>
            <wp:effectExtent b="0" l="0" r="0" t="0"/>
            <wp:docPr id="2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6774" cy="249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drops, the Encoder Controller increments the baseline QP on the next frame slice to preserve pacing without causing network queue backup.</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BW-RFC-005: Codec Pipeline &amp; GPU Abstraction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Capability Negotiation:</w:t>
      </w:r>
      <w:r w:rsidDel="00000000" w:rsidR="00000000" w:rsidRPr="00000000">
        <w:rPr>
          <w:rFonts w:ascii="Google Sans" w:cs="Google Sans" w:eastAsia="Google Sans" w:hAnsi="Google Sans"/>
          <w:color w:val="1f1f1f"/>
          <w:rtl w:val="0"/>
        </w:rPr>
        <w:t xml:space="preserve"> During Stream 0 handshake, endpoints exchange supported profile bitmasks. If hardware AV1 Main 10 profile is present on both Agent and Console, it is selected. Otherwise, the pipeline degrades to H.264 High Profile (constrained baseline as universal fallback).</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ROI Support:</w:t>
      </w:r>
      <w:r w:rsidDel="00000000" w:rsidR="00000000" w:rsidRPr="00000000">
        <w:rPr>
          <w:rFonts w:ascii="Google Sans" w:cs="Google Sans" w:eastAsia="Google Sans" w:hAnsi="Google Sans"/>
          <w:color w:val="1f1f1f"/>
          <w:rtl w:val="0"/>
        </w:rPr>
        <w:t xml:space="preserve"> Direct3D11/Vulkan capture damage rects are passed directly to the hardware encoder's Region of Interest (ROI) configuration block, instructing the encoder to allocate higher QP density to changed regions.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BW-RFC-006: Identity Plane &amp; Device Enrollment</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Enrollment Request:</w:t>
      </w:r>
      <w:r w:rsidDel="00000000" w:rsidR="00000000" w:rsidRPr="00000000">
        <w:rPr>
          <w:rFonts w:ascii="Google Sans" w:cs="Google Sans" w:eastAsia="Google Sans" w:hAnsi="Google Sans"/>
          <w:color w:val="1f1f1f"/>
          <w:rtl w:val="0"/>
        </w:rPr>
        <w:t xml:space="preserve"> Devices perform EnrollDevice by presenting their Ed25519 public identity key and an Endorsement Key (EK) credential signed by the on-board TPM 2.0. The Identity Plane verifies the hardware chain of trust before adding the canonical bw-id- to the active Tenant Directory.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BW-RFC-007: Relay Plane Architecture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Soft-State Forwarding:</w:t>
      </w:r>
      <w:r w:rsidDel="00000000" w:rsidR="00000000" w:rsidRPr="00000000">
        <w:rPr>
          <w:rFonts w:ascii="Google Sans" w:cs="Google Sans" w:eastAsia="Google Sans" w:hAnsi="Google Sans"/>
          <w:color w:val="1f1f1f"/>
          <w:rtl w:val="0"/>
        </w:rPr>
        <w:t xml:space="preserve"> Relays maintain a volatile in-memory routing table mapping incoming QUIC Connection IDs to target destination sockets. Relays carry zero persistent user state, zero configuration caches, and zero cryptographic session key material.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BW-RFC-008: Policy Engine</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Policy Triplet:</w:t>
      </w:r>
      <w:r w:rsidDel="00000000" w:rsidR="00000000" w:rsidRPr="00000000">
        <w:rPr>
          <w:rFonts w:ascii="Google Sans" w:cs="Google Sans" w:eastAsia="Google Sans" w:hAnsi="Google Sans"/>
          <w:color w:val="1f1f1f"/>
          <w:rtl w:val="0"/>
        </w:rPr>
        <w:t xml:space="preserve"> Policies evaluate in the following precedence order: Emergency Override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Tenant Policy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Device Policy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User Role. If any evaluation level fails to explicitly permit a capability, the engine defaults to DENY.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BW-RFC-009: Session Recording &amp; Audit</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Blind Auditing:</w:t>
      </w:r>
      <w:r w:rsidDel="00000000" w:rsidR="00000000" w:rsidRPr="00000000">
        <w:rPr>
          <w:rFonts w:ascii="Google Sans" w:cs="Google Sans" w:eastAsia="Google Sans" w:hAnsi="Google Sans"/>
          <w:color w:val="1f1f1f"/>
          <w:rtl w:val="0"/>
        </w:rPr>
        <w:t xml:space="preserve"> The Agent writes a structured audit log containing timing metadata, connection events, and administrative changes. Payloads, keystrokes, and video textures are strictly excluded from audit pipelines to protect user privacy.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BW-RFC-010: Plugin / Virtual Channel Framework</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Virtual Channels:</w:t>
      </w:r>
      <w:r w:rsidDel="00000000" w:rsidR="00000000" w:rsidRPr="00000000">
        <w:rPr>
          <w:rFonts w:ascii="Google Sans" w:cs="Google Sans" w:eastAsia="Google Sans" w:hAnsi="Google Sans"/>
          <w:color w:val="1f1f1f"/>
          <w:rtl w:val="0"/>
        </w:rPr>
        <w:t xml:space="preserve"> Stream IDs 12–31 are reserved as virtual multiplex channels. Custom plugins can register callbacks on these channels to route low-priority telemetry, custom USB descriptors, or diagnostics without impacting the real-time scheduling of interactive media.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BW-RFC-011: Enterprise Administration APIs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Management Gateways:</w:t>
      </w:r>
      <w:r w:rsidDel="00000000" w:rsidR="00000000" w:rsidRPr="00000000">
        <w:rPr>
          <w:rFonts w:ascii="Google Sans" w:cs="Google Sans" w:eastAsia="Google Sans" w:hAnsi="Google Sans"/>
          <w:color w:val="1f1f1f"/>
          <w:rtl w:val="0"/>
        </w:rPr>
        <w:t xml:space="preserve"> Administrative changes (key rotations, policy updates, device revokes) are initiated over HTTP/2 using gRPC interfaces locked behind Mutual TLS (mTLS) with hardware-backed certificates.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BW-RFC-012: Cross-Platform Capture Architecture</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Windows Fallback Cascade:</w:t>
      </w:r>
      <w:r w:rsidDel="00000000" w:rsidR="00000000" w:rsidRPr="00000000">
        <w:rPr>
          <w:rFonts w:ascii="Google Sans" w:cs="Google Sans" w:eastAsia="Google Sans" w:hAnsi="Google Sans"/>
          <w:color w:val="1f1f1f"/>
          <w:rtl w:val="0"/>
        </w:rPr>
        <w:t xml:space="preserve"> DXGI Desktop Duplication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Windows.Graphics.Capture (WGC)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GDI BitBlt.</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Linux Fallback Cascade:</w:t>
      </w:r>
      <w:r w:rsidDel="00000000" w:rsidR="00000000" w:rsidRPr="00000000">
        <w:rPr>
          <w:rFonts w:ascii="Google Sans" w:cs="Google Sans" w:eastAsia="Google Sans" w:hAnsi="Google Sans"/>
          <w:color w:val="1f1f1f"/>
          <w:rtl w:val="0"/>
        </w:rPr>
        <w:t xml:space="preserve"> Wayland DMA-BUF (PipeWire)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X11 Shared Memory (XShm).</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macOS Fallback Cascade:</w:t>
      </w:r>
      <w:r w:rsidDel="00000000" w:rsidR="00000000" w:rsidRPr="00000000">
        <w:rPr>
          <w:rFonts w:ascii="Google Sans" w:cs="Google Sans" w:eastAsia="Google Sans" w:hAnsi="Google Sans"/>
          <w:color w:val="1f1f1f"/>
          <w:rtl w:val="0"/>
        </w:rPr>
        <w:t xml:space="preserve"> ScreenCaptureKit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3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CoreGraphics API.</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BW-RFC-013: Secure Update &amp; Rollback System</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Update Canary Pipeline:</w:t>
      </w:r>
      <w:r w:rsidDel="00000000" w:rsidR="00000000" w:rsidRPr="00000000">
        <w:rPr>
          <w:rFonts w:ascii="Google Sans" w:cs="Google Sans" w:eastAsia="Google Sans" w:hAnsi="Google Sans"/>
          <w:color w:val="1f1f1f"/>
          <w:rtl w:val="0"/>
        </w:rPr>
        <w:t xml:space="preserve"> Updates are deployed in graduated stages: Developer (internal ring)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Nightly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Beta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Stable (general availability). Any failure reported by the HealthReport API within </w:t>
      </w:r>
      <w:r w:rsidDel="00000000" w:rsidR="00000000" w:rsidRPr="00000000">
        <w:rPr>
          <w:rFonts w:ascii="Google Sans" w:cs="Google Sans" w:eastAsia="Google Sans" w:hAnsi="Google Sans"/>
          <w:color w:val="1f1f1f"/>
        </w:rPr>
        <w:drawing>
          <wp:inline distB="19050" distT="19050" distL="19050" distR="19050">
            <wp:extent cx="901700" cy="23495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9017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post-update automatically rolls back the local binary.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BW-RFC-014: Observability, Metrics &amp; Distributed Tracing</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Prometheus Metrics:</w:t>
      </w:r>
      <w:r w:rsidDel="00000000" w:rsidR="00000000" w:rsidRPr="00000000">
        <w:rPr>
          <w:rFonts w:ascii="Google Sans" w:cs="Google Sans" w:eastAsia="Google Sans" w:hAnsi="Google Sans"/>
          <w:color w:val="1f1f1f"/>
          <w:rtl w:val="0"/>
        </w:rPr>
        <w:t xml:space="preserve"> Emits structured Prometheus metrics including blackwing_frame_latency_us, blackwing_encode_latency_us, blackwing_quic_rtt_us, and blackwing_active_relay_sessions.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BW-RFC-015: Performance Certification Standard</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Acceptance Thresholds:</w:t>
      </w:r>
      <w:r w:rsidDel="00000000" w:rsidR="00000000" w:rsidRPr="00000000">
        <w:rPr>
          <w:rFonts w:ascii="Google Sans" w:cs="Google Sans" w:eastAsia="Google Sans" w:hAnsi="Google Sans"/>
          <w:color w:val="1f1f1f"/>
          <w:rtl w:val="0"/>
        </w:rPr>
        <w:t xml:space="preserve"> Releases must achieve:</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1289047" cy="236113"/>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289047" cy="236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processing latency (excluding network) </w:t>
      </w:r>
      <w:r w:rsidDel="00000000" w:rsidR="00000000" w:rsidRPr="00000000">
        <w:rPr>
          <w:rFonts w:ascii="Google Sans" w:cs="Google Sans" w:eastAsia="Google Sans" w:hAnsi="Google Sans"/>
          <w:color w:val="1f1f1f"/>
        </w:rPr>
        <w:drawing>
          <wp:inline distB="19050" distT="19050" distL="19050" distR="19050">
            <wp:extent cx="702072" cy="234024"/>
            <wp:effectExtent b="0" l="0" r="0" t="0"/>
            <wp:docPr id="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702072" cy="234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1028700" cy="234950"/>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0287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processing latency </w:t>
      </w:r>
      <w:r w:rsidDel="00000000" w:rsidR="00000000" w:rsidRPr="00000000">
        <w:rPr>
          <w:rFonts w:ascii="Google Sans" w:cs="Google Sans" w:eastAsia="Google Sans" w:hAnsi="Google Sans"/>
          <w:color w:val="1f1f1f"/>
        </w:rPr>
        <w:drawing>
          <wp:inline distB="19050" distT="19050" distL="19050" distR="19050">
            <wp:extent cx="702072" cy="234024"/>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02072" cy="234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Idle system footprint </w:t>
      </w:r>
      <w:r w:rsidDel="00000000" w:rsidR="00000000" w:rsidRPr="00000000">
        <w:rPr>
          <w:rFonts w:ascii="Google Sans" w:cs="Google Sans" w:eastAsia="Google Sans" w:hAnsi="Google Sans"/>
          <w:color w:val="1f1f1f"/>
        </w:rPr>
        <w:drawing>
          <wp:inline distB="19050" distT="19050" distL="19050" distR="19050">
            <wp:extent cx="778272" cy="234114"/>
            <wp:effectExtent b="0" l="0" r="0" t="0"/>
            <wp:docPr id="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778272" cy="234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RSS RAM and </w:t>
      </w:r>
      <w:r w:rsidDel="00000000" w:rsidR="00000000" w:rsidRPr="00000000">
        <w:rPr>
          <w:rFonts w:ascii="Google Sans" w:cs="Google Sans" w:eastAsia="Google Sans" w:hAnsi="Google Sans"/>
          <w:color w:val="1f1f1f"/>
        </w:rPr>
        <w:drawing>
          <wp:inline distB="19050" distT="19050" distL="19050" distR="19050">
            <wp:extent cx="632222" cy="236285"/>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32222" cy="236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CPU core utilization.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2.png"/><Relationship Id="rId22" Type="http://schemas.openxmlformats.org/officeDocument/2006/relationships/image" Target="media/image7.png"/><Relationship Id="rId10" Type="http://schemas.openxmlformats.org/officeDocument/2006/relationships/image" Target="media/image10.png"/><Relationship Id="rId21" Type="http://schemas.openxmlformats.org/officeDocument/2006/relationships/image" Target="media/image1.png"/><Relationship Id="rId13" Type="http://schemas.openxmlformats.org/officeDocument/2006/relationships/image" Target="media/image2.png"/><Relationship Id="rId24" Type="http://schemas.openxmlformats.org/officeDocument/2006/relationships/image" Target="media/image8.png"/><Relationship Id="rId12"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19.png"/><Relationship Id="rId17" Type="http://schemas.openxmlformats.org/officeDocument/2006/relationships/image" Target="media/image4.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6.png"/><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