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PROJECT BLACKWING — Repository Standards &amp; Workspace Manual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Document ID: BW-RFC-0026 | Version: 1.0.0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Status: Approved (Entering Phase 3A Execution)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Classification: Internal Engineering Standard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Repository Governance &amp; Contributing Guidelines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section establishes the engineering rules for the PROJECT BLACKWING codebase. Every pull request (PR) must pass all verification checks before landing in the main branch.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1.1 Branching Strategy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Blackwing employs a strict trunk-based development strategy with short-lived feature branches: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                 [main] (Protected: SLSA Level 3)</w:t>
        <w:br w:type="textWrapping"/>
        <w:t xml:space="preserve">                     ▲</w:t>
        <w:br w:type="textWrapping"/>
        <w:t xml:space="preserve">                     │ (Squash &amp; Merge via PR)</w:t>
        <w:br w:type="textWrapping"/>
        <w:t xml:space="preserve">       ┌─────────────┴─────────────┐</w:t>
        <w:br w:type="textWrapping"/>
        <w:t xml:space="preserve">       │                           │</w:t>
        <w:br w:type="textWrapping"/>
        <w:t xml:space="preserve">  [feat/bw-102-pake]          [fix/bw-301-dxgi]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Branch Naming Conventions: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feat/bw-&lt;ticket_number&gt;-&lt;short_description&gt; (e.g., feat/bw-102-opaque-pake)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fix/bw-&lt;ticket_number&gt;-&lt;short_description&gt; (e.g., fix/bw-301-dxgi-uac)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security/bw-&lt;ticket_number&gt;-&lt;short_description&gt; (e.g., security/bw-502-debugger-bypass)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Branch Protection Policies: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Direct pushes to main are blocked.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All commits must be cryptographically signed (GPG/SSH).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Minimum of 2 approving reviews from the security and platform architecture groups is mandatory.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Successful completion of the entire CI verification suite is required.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1.2 Commit Conventions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Commit messages must conform strictly to the Conventional Commits specification: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&lt;type&gt;(&lt;scope&gt;): &lt;short description&gt;</w:t>
        <w:br w:type="textWrapping"/>
        <w:br w:type="textWrapping"/>
        <w:t xml:space="preserve">[Optional body explaining the architectural justification]</w:t>
        <w:br w:type="textWrapping"/>
        <w:br w:type="textWrapping"/>
        <w:t xml:space="preserve">[Optional footer listing breaking changes and ticket references]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Permitted Types: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feat: A new feature (e.g., feat(crypto): add TPM key wrapping interface)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fix: A bug fix (e.g., fix(capture): resolve dxgi memory leak in frame pool)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refactor: A code change that neither fixes a bug nor adds a feature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perf: A code change that improves performance (e.g., perf(core): convert frame pool to atomic lock-free queue)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security: Patches targeting threat mitigation (e.g., security(runtime): add VirtualLock to clipboard memory allocation)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docs: Documentation changes only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1.3 PR Security Review Checklist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Reviewers must verify that the PR satisfies the following security invariants: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Memory Safety: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Does the PR introduce unsafe code blocks? If yes, is there a compelling, documented justification, and is it accompanied by a // SAFETY: block proving correctness?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Secret Sanitization: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Are all newly introduced buffers containing key material, PAKE states, or cleartext inputs implementing the Zeroize trait and zeroised on drop?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Allocation Limits: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Does any code in the hot media loop (capture, CSC, encode, transmit) execute dynamic allocations (Vec, Box, HashMap, std::sync::Arc)?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Panic Isolation: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Are unwrap(), expect(), or panic! present in non-test paths? Error propagation must use Result&lt;T, BwError&gt; instead.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Replay Validation: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Do new network parsers enforce monotonic sequence tracking and validation against the sliding replay window?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Complete Sequence Diagrams (BW-RFC-0027)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These sequence diagrams define the step-by-step cryptographic and transport handshakes across the platform boundaries.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2.1 Complete Device Enrollment Sequence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sequenceDiagram</w:t>
        <w:br w:type="textWrapping"/>
        <w:t xml:space="preserve">    autonumber</w:t>
        <w:br w:type="textWrapping"/>
        <w:t xml:space="preserve">    participant Agent as Blackwing Agent</w:t>
        <w:br w:type="textWrapping"/>
        <w:t xml:space="preserve">    participant CP as Control Plane (gRPC)</w:t>
        <w:br w:type="textWrapping"/>
        <w:t xml:space="preserve">    participant HSM as Offline Authority HSM</w:t>
        <w:br w:type="textWrapping"/>
        <w:br w:type="textWrapping"/>
        <w:t xml:space="preserve">    Note over Agent: 1. Generate local Ed25519 Identity Key Pair</w:t>
        <w:br w:type="textWrapping"/>
        <w:t xml:space="preserve">    Agent-&gt;&gt;Agent: Seal Private Key using TPM 2.0 SRK</w:t>
        <w:br w:type="textWrapping"/>
        <w:t xml:space="preserve">    Note over Agent: 2. Query TPM for EK Cert &amp; PCR States</w:t>
        <w:br w:type="textWrapping"/>
        <w:t xml:space="preserve">    Agent-&gt;&gt;CP: EnrollDeviceRequest (Public Key, TPM Attestation, Tenant ID)</w:t>
        <w:br w:type="textWrapping"/>
        <w:t xml:space="preserve">    CP-&gt;&gt;CP: Parse &amp; Verify TPM Endorsement Chain</w:t>
        <w:br w:type="textWrapping"/>
        <w:t xml:space="preserve">    CP-&gt;&gt;CP: Validate PCR Configuration states (Secure Boot On)</w:t>
        <w:br w:type="textWrapping"/>
        <w:t xml:space="preserve">    CP-&gt;&gt;CP: Generate Canonical Device ID (bw-id-...)</w:t>
        <w:br w:type="textWrapping"/>
        <w:t xml:space="preserve">    CP-&gt;&gt;CP: Write Device ID to Database</w:t>
        <w:br w:type="textWrapping"/>
        <w:t xml:space="preserve">    CP--&gt;&gt;Agent: EnrollDeviceResponse (Authorized = True, Device ID)</w:t>
        <w:br w:type="textWrapping"/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2.2 Secure Session Initiation &amp; PAKE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sequenceDiagram</w:t>
        <w:br w:type="textWrapping"/>
        <w:t xml:space="preserve">    autonumber</w:t>
        <w:br w:type="textWrapping"/>
        <w:t xml:space="preserve">    participant Console as Blackwing Console</w:t>
        <w:br w:type="textWrapping"/>
        <w:t xml:space="preserve">    participant CP as Control Plane (gRPC)</w:t>
        <w:br w:type="textWrapping"/>
        <w:t xml:space="preserve">    participant Agent as Blackwing Agent</w:t>
        <w:br w:type="textWrapping"/>
        <w:br w:type="textWrapping"/>
        <w:t xml:space="preserve">    Console-&gt;&gt;CP: RequestSessionToken (Target Agent ID, Signed Challenge)</w:t>
        <w:br w:type="textWrapping"/>
        <w:t xml:space="preserve">    CP-&gt;&gt;CP: Verify Console Identity &amp; Tenant Affiliation</w:t>
        <w:br w:type="textWrapping"/>
        <w:t xml:space="preserve">    CP-&gt;&gt;CP: Pull Signed Admin Policy Block</w:t>
        <w:br w:type="textWrapping"/>
        <w:t xml:space="preserve">    CP--&gt;&gt;Console: SessionTokenResponse (JWS Token, Relay Endpoint, Encrypted Seed)</w:t>
        <w:br w:type="textWrapping"/>
        <w:t xml:space="preserve">    Console-&gt;&gt;Agent: Init Session via Signaling (OPAQUE PAKE Initializer)</w:t>
        <w:br w:type="textWrapping"/>
        <w:t xml:space="preserve">    Note over Console, Agent: OPAQUE Key Exchange over Ristretto255 VOPRF</w:t>
        <w:br w:type="textWrapping"/>
        <w:t xml:space="preserve">    Agent-&gt;&gt;Agent: Validate Console authorization JWS Token</w:t>
        <w:br w:type="textWrapping"/>
        <w:t xml:space="preserve">    Console-&gt;&gt;Agent: Capabilities Handshake (CBOR over Stream 0)</w:t>
        <w:br w:type="textWrapping"/>
        <w:t xml:space="preserve">    Note over Console, Agent: Handshake Intersects &amp; Negotiates AV1/H264 Capabilities</w:t>
        <w:br w:type="textWrapping"/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2.3 Fast Session Resumption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sequenceDiagram</w:t>
        <w:br w:type="textWrapping"/>
        <w:t xml:space="preserve">    autonumber</w:t>
        <w:br w:type="textWrapping"/>
        <w:t xml:space="preserve">    participant Console as Blackwing Console</w:t>
        <w:br w:type="textWrapping"/>
        <w:t xml:space="preserve">    participant Relay as Blackwing Relay</w:t>
        <w:br w:type="textWrapping"/>
        <w:t xml:space="preserve">    participant Agent as Blackwing Agent</w:t>
        <w:br w:type="textWrapping"/>
        <w:br w:type="textWrapping"/>
        <w:t xml:space="preserve">    Note over Console, Agent: 1. Connection Lost Event (WAN Swapped / Drop)</w:t>
        <w:br w:type="textWrapping"/>
        <w:t xml:space="preserve">    Console-&gt;&gt;Console: Maintain Active Cryptographic Keys in memory (64s timer)</w:t>
        <w:br w:type="textWrapping"/>
        <w:t xml:space="preserve">    Agent-&gt;&gt;Agent: Freeze pipeline, maintain Session Epoch keys</w:t>
        <w:br w:type="textWrapping"/>
        <w:t xml:space="preserve">    Console-&gt;&gt;Relay: QUIC Connection Migration (Transmit new IP/Port + Session Epoch)</w:t>
        <w:br w:type="textWrapping"/>
        <w:t xml:space="preserve">    Console-&gt;&gt;Agent: Single-Packet Resumption Challenge (Incremented Nonce)</w:t>
        <w:br w:type="textWrapping"/>
        <w:t xml:space="preserve">    Agent-&gt;&gt;Agent: Verify Nonce + Epoch Match</w:t>
        <w:br w:type="textWrapping"/>
        <w:t xml:space="preserve">    Agent--&gt;&gt;Console: Resumption Response (Incremented Nonce + ACK)</w:t>
        <w:br w:type="textWrapping"/>
        <w:t xml:space="preserve">    Note over Console, Agent: Session Restored in &lt;= 1.5 seconds without full TLS renegotiation</w:t>
        <w:br w:type="textWrapping"/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Formal STRIDE Threat Matrix Per Subsystem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section catalogs every active threat vector against Blackwing subsystems and establishes concrete cryptographic and systemic countermeasures.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3.1 Subsystem Threat Catalog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Subsystem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Threat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STRIDE Category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Specific Technical Countermeasure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bw-transport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Attacker intercepts UDP payload and injects spoofed input commands.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Tampering / Spoofing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Every QUIC datagram and packet uses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TLS 1.3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primitives with dynamic sequence checks verified against the sliding replay window (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565646" cy="21854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646" cy="2185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bw-transport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Adversary targets Relay to extract session routing paths and metadata.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Information Disclosure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Relays operate with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soft-state forwarding metrics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only. Real-world target IPs are obscured behind encrypted peer candidates.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bw-crypto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Malware extracts the Agent's long-term signing key to clone the host identity.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Information Disclosure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TPM 2.0 Wrapping (ADR-010):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The Ed25519 identity key is encrypted and sealed under the TPM Storage Root Key (SRK).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bw-crypto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Attacker performs dictionary attack on the Console session credentials.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Spoofing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Mutual authentication relies on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OPAQUE asymmetric PAKE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over ristretto255. Plaintext secrets never traverse the wire.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bw-capture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Malicious process captures the unencrypted memory-locked display texture pool.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Information Disclosure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Texture handles are allocated inside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private VRAM boundaries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using exclusive DXGI device contexts.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bw-agent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Parser exploit inside the network-facing receiver escalates privileges to system kernel.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Elevation of Privilege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Split-Privilege Architecture (ADR-010):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Network packet deserialization is strictly executed within the unprivileged Session Runner process.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bw-control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Compromised administrator account attempts to alter historic user access logs.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Repudiation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Audit logs are structured in JSON, cryptographically signed, and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chained chronologically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using SHA-256 blocks.</w:t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CI/CD Pipeline &amp; Release Specifications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achieve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SLSA Level 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build isolation, the release pipeline implements automated verification checks before code can be packaged or deployed.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                 +-----------------------------------+</w:t>
        <w:br w:type="textWrapping"/>
        <w:t xml:space="preserve">                  |           Pull Request            |</w:t>
        <w:br w:type="textWrapping"/>
        <w:t xml:space="preserve">                  +-----------------------------------+</w:t>
        <w:br w:type="textWrapping"/>
        <w:t xml:space="preserve">                                    │</w:t>
        <w:br w:type="textWrapping"/>
        <w:t xml:space="preserve">                                    ▼</w:t>
        <w:br w:type="textWrapping"/>
        <w:t xml:space="preserve">                  +-----------------------------------+</w:t>
        <w:br w:type="textWrapping"/>
        <w:t xml:space="preserve">                  |           Lints &amp; Style           | (cargo fmt, clippy, deny)</w:t>
        <w:br w:type="textWrapping"/>
        <w:t xml:space="preserve">                  +-----------------------------------+</w:t>
        <w:br w:type="textWrapping"/>
        <w:t xml:space="preserve">                                    │</w:t>
        <w:br w:type="textWrapping"/>
        <w:t xml:space="preserve">                                    ▼</w:t>
        <w:br w:type="textWrapping"/>
        <w:t xml:space="preserve">                  +-----------------------------------+</w:t>
        <w:br w:type="textWrapping"/>
        <w:t xml:space="preserve">                  |           Unit Testing            | (cargo nextest)</w:t>
        <w:br w:type="textWrapping"/>
        <w:t xml:space="preserve">                  +-----------------------------------+</w:t>
        <w:br w:type="textWrapping"/>
        <w:t xml:space="preserve">                                    │</w:t>
        <w:br w:type="textWrapping"/>
        <w:t xml:space="preserve">                                    ▼</w:t>
        <w:br w:type="textWrapping"/>
        <w:t xml:space="preserve">                  +-----------------------------------+</w:t>
        <w:br w:type="textWrapping"/>
        <w:t xml:space="preserve">                  |        Security Auditing          | (cargo audit, cargo fuzz)</w:t>
        <w:br w:type="textWrapping"/>
        <w:t xml:space="preserve">                  +-----------------------------------+</w:t>
        <w:br w:type="textWrapping"/>
        <w:t xml:space="preserve">                                    │</w:t>
        <w:br w:type="textWrapping"/>
        <w:t xml:space="preserve">                                    ▼</w:t>
        <w:br w:type="textWrapping"/>
        <w:t xml:space="preserve">                  +-----------------------------------+</w:t>
        <w:br w:type="textWrapping"/>
        <w:t xml:space="preserve">                  |          Code Coverage            | (cargo llvm-cov &gt; 85%)</w:t>
        <w:br w:type="textWrapping"/>
        <w:t xml:space="preserve">                  +-----------------------------------+</w:t>
        <w:br w:type="textWrapping"/>
        <w:t xml:space="preserve">                                    │</w:t>
        <w:br w:type="textWrapping"/>
        <w:t xml:space="preserve">                                    ▼</w:t>
        <w:br w:type="textWrapping"/>
        <w:t xml:space="preserve">                  +-----------------------------------+</w:t>
        <w:br w:type="textWrapping"/>
        <w:t xml:space="preserve">                  |       Reproducible Build          | (Hardened Docker Workspace)</w:t>
        <w:br w:type="textWrapping"/>
        <w:t xml:space="preserve">                  +-----------------------------------+</w:t>
        <w:br w:type="textWrapping"/>
        <w:t xml:space="preserve">                                    │</w:t>
        <w:br w:type="textWrapping"/>
        <w:t xml:space="preserve">                                    ▼</w:t>
        <w:br w:type="textWrapping"/>
        <w:t xml:space="preserve">                  +-----------------------------------+</w:t>
        <w:br w:type="textWrapping"/>
        <w:t xml:space="preserve">                  |        Artifact Signing           | (EV Cert / Cosign)</w:t>
        <w:br w:type="textWrapping"/>
        <w:t xml:space="preserve">                  +-----------------------------------+</w:t>
        <w:br w:type="textWrapping"/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4.1 CI Stages &amp; Execution Invariants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Linting &amp; Style: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Code must pass cargo fmt --all -- --check and cargo clippy --all-targets -- -D warnings. Code that does not conform to the styling conventions will fail.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Security Audit (cargo deny &amp; cargo audit):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Verifies the dependency graph on every commit. Any crate possessing active CVE vulnerabilities or unlicensed copyleft code (e.g., GPL-3.0) triggers an immediate build failure.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Unit &amp; Parallel Testing (cargo nextest):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Parallel test runner validating logical modules. Tests must run within deterministic time constraints.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Fuzz Testing (cargo fuzz):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Executed inside an isolated runner for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46100" cy="23771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237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per minor release PR, targeting packet parsing layers.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Code Coverage (cargo llvm-cov):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build is blocked if test execution coverage drops below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68300" cy="2349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3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across the bw-protocol, bw-crypto, and bw-core crates.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Reproducible Build Environment: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Builds compile inside a hardened Docker container pinned to specific base digest hashes (debian:bookworm-slim@sha256:...), compiling against the static rust-toolchain.toml configuration.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Release Artifact Signing: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Successful builds are signed using an Authenticode EV certificate (Windows) and cosign (Linux/Docker containers) before being pushed to the secure distribution repository.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