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Blackwing Protocol RFC Specifications (BW-RFC-002 &amp; BW-RFC-003)</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Version: 1.0.0 | Status: Approved (Architecture Baseline)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Editors: Principal Systems Engineering &amp; Network Architecture Groups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BW-RFC-002: Transport Scheduler &amp; Traffic Allocation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the low-latency target of </w:t>
      </w:r>
      <w:r w:rsidDel="00000000" w:rsidR="00000000" w:rsidRPr="00000000">
        <w:rPr>
          <w:rFonts w:ascii="Google Sans" w:cs="Google Sans" w:eastAsia="Google Sans" w:hAnsi="Google Sans"/>
          <w:color w:val="1f1f1f"/>
        </w:rPr>
        <w:drawing>
          <wp:inline distB="19050" distT="19050" distL="19050" distR="19050">
            <wp:extent cx="702072" cy="234024"/>
            <wp:effectExtent b="0" l="0" r="0" t="0"/>
            <wp:docPr id="1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02072" cy="234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varying network conditions, Blackwing implements a priority-arbitrated Deficit Round Robin (DRR) scheduling algorithm on top of the multiplexed QUIC connection.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prevents bulk file transfers (Stream 6) and transactional clipboard syncs (Stream 5) from starving highly interactive mouse telemetry (Stream 2) and screen video payloads (Stream 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QUIC Packet Scheduler         |</w:t>
        <w:br w:type="textWrapping"/>
        <w:t xml:space="preserve">                +---------------------------------------+</w:t>
        <w:br w:type="textWrapping"/>
        <w:t xml:space="preserve">                                    ▲</w:t>
        <w:br w:type="textWrapping"/>
        <w:t xml:space="preserve">          ┌─────────────────────────┼─────────────────────────┐</w:t>
        <w:br w:type="textWrapping"/>
        <w:t xml:space="preserve">          │ (Interactive Class)     │ (Media Class)           │ (Bulk Class)</w:t>
        <w:br w:type="textWrapping"/>
        <w:t xml:space="preserve">          │ Weight: 50%             │ Weight: 35%             │ Weight: 15%</w:t>
        <w:br w:type="textWrapping"/>
        <w:t xml:space="preserve">          │ Quantum: 5000 bytes     │ Quantum: 3500 bytes     │ Quantum: 1500 bytes</w:t>
        <w:br w:type="textWrapping"/>
        <w:t xml:space="preserve">          │                         │                         │</w:t>
        <w:br w:type="textWrapping"/>
        <w:t xml:space="preserve">  +---------------+         +---------------+         +---------------+</w:t>
        <w:br w:type="textWrapping"/>
        <w:t xml:space="preserve">  |  Stream 1 &amp; 2 |         |  Stream 3 &amp; 4 |         |  Stream 5 &amp; 6 |</w:t>
        <w:br w:type="textWrapping"/>
        <w:t xml:space="preserve">  | Keyboard/Mouse|         |  Video/Audio  |         |  Clipboard/File|</w:t>
        <w:br w:type="textWrapping"/>
        <w:t xml:space="preserve">  +---------------+         +---------------+         +---------------+</w:t>
        <w:br w:type="textWrapping"/>
        <w:br w:type="textWrapping"/>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Scheduler Classes &amp; Weights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partition the stream registry into three scheduling classes with deterministic weight distributions and byte quanta per round: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Scheduling Class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Priority Weight</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Quantum (Qi​)</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Associated Stream IDs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Latency &amp; Buffer Policy</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Interactive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368300" cy="234950"/>
            <wp:effectExtent b="0" l="0" r="0" t="0"/>
            <wp:docPr id="2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683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908050" cy="236604"/>
            <wp:effectExtent b="0" l="0" r="0" t="0"/>
            <wp:docPr id="20"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908050" cy="236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Stream 1 (Keyboard), Stream 2 (Mouse), Stream 8 (Shell) | Strict head-of-line dispatch. Zero-queue pacing.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Media</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368300" cy="234950"/>
            <wp:effectExtent b="0" l="0" r="0" t="0"/>
            <wp:docPr id="23"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3683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908050" cy="236604"/>
            <wp:effectExtent b="0" l="0" r="0" t="0"/>
            <wp:docPr id="2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908050" cy="236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Stream 3 (Video), Stream 4 (Audio), Stream 10 (Camera) | Frame pacing aligned to measured BBR bottleneck bandwidth.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Bulk</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368300" cy="234950"/>
            <wp:effectExtent b="0" l="0" r="0" t="0"/>
            <wp:docPr id="25"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3683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908050" cy="236604"/>
            <wp:effectExtent b="0" l="0" r="0" t="0"/>
            <wp:docPr id="2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908050" cy="236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Stream 5 (Clipboard), Stream 6 (File Transfer), Stream 9 (USB) | Capped at </w:t>
      </w:r>
      <w:r w:rsidDel="00000000" w:rsidR="00000000" w:rsidRPr="00000000">
        <w:rPr>
          <w:rFonts w:ascii="Google Sans" w:cs="Google Sans" w:eastAsia="Google Sans" w:hAnsi="Google Sans"/>
          <w:color w:val="1f1f1f"/>
        </w:rPr>
        <w:drawing>
          <wp:inline distB="19050" distT="19050" distL="19050" distR="19050">
            <wp:extent cx="368300" cy="234950"/>
            <wp:effectExtent b="0" l="0" r="0" t="0"/>
            <wp:docPr id="27"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3683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total measured link capacity. |</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Deficit Round Robin (DRR) Algorithm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scheduling loop maintains a DeficitCounter (</w:t>
      </w:r>
      <w:r w:rsidDel="00000000" w:rsidR="00000000" w:rsidRPr="00000000">
        <w:rPr>
          <w:rFonts w:ascii="Google Sans" w:cs="Google Sans" w:eastAsia="Google Sans" w:hAnsi="Google Sans"/>
          <w:color w:val="1f1f1f"/>
        </w:rPr>
        <w:drawing>
          <wp:inline distB="19050" distT="19050" distL="19050" distR="19050">
            <wp:extent cx="370682" cy="249251"/>
            <wp:effectExtent b="0" l="0" r="0" t="0"/>
            <wp:docPr id="26"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370682" cy="249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each active stream </w:t>
      </w:r>
      <w:r w:rsidDel="00000000" w:rsidR="00000000" w:rsidRPr="00000000">
        <w:rPr>
          <w:rFonts w:ascii="Google Sans" w:cs="Google Sans" w:eastAsia="Google Sans" w:hAnsi="Google Sans"/>
          <w:color w:val="1f1f1f"/>
        </w:rPr>
        <w:drawing>
          <wp:inline distB="19050" distT="19050" distL="19050" distR="19050">
            <wp:extent cx="69850" cy="272415"/>
            <wp:effectExtent b="0" l="0" r="0" t="0"/>
            <wp:docPr id="30"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69850" cy="272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each scheduling round:</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For each active stream </w:t>
      </w:r>
      <w:r w:rsidDel="00000000" w:rsidR="00000000" w:rsidRPr="00000000">
        <w:rPr>
          <w:rFonts w:ascii="Google Sans" w:cs="Google Sans" w:eastAsia="Google Sans" w:hAnsi="Google Sans"/>
          <w:color w:val="1f1f1f"/>
        </w:rPr>
        <w:drawing>
          <wp:inline distB="19050" distT="19050" distL="19050" distR="19050">
            <wp:extent cx="69850" cy="272415"/>
            <wp:effectExtent b="0" l="0" r="0" t="0"/>
            <wp:docPr id="28"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69850" cy="272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scheduler increments its deficit counter:</w:t>
      </w:r>
      <w:r w:rsidDel="00000000" w:rsidR="00000000" w:rsidRPr="00000000">
        <w:rPr>
          <w:rFonts w:ascii="Google Sans" w:cs="Google Sans" w:eastAsia="Google Sans" w:hAnsi="Google Sans"/>
          <w:color w:val="1f1f1f"/>
        </w:rPr>
        <w:drawing>
          <wp:inline distB="19050" distT="19050" distL="19050" distR="19050">
            <wp:extent cx="5638800" cy="723900"/>
            <wp:effectExtent b="0" l="0" r="0" t="0"/>
            <wp:docPr id="29"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6388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While </w:t>
      </w:r>
      <w:r w:rsidDel="00000000" w:rsidR="00000000" w:rsidRPr="00000000">
        <w:rPr>
          <w:rFonts w:ascii="Google Sans" w:cs="Google Sans" w:eastAsia="Google Sans" w:hAnsi="Google Sans"/>
          <w:color w:val="1f1f1f"/>
        </w:rPr>
        <w:drawing>
          <wp:inline distB="19050" distT="19050" distL="19050" distR="19050">
            <wp:extent cx="733425" cy="248727"/>
            <wp:effectExtent b="0" l="0" r="0" t="0"/>
            <wp:docPr id="3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733425" cy="248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stream has packets queued:</w:t>
      </w:r>
    </w:p>
    <w:p w:rsidR="00000000" w:rsidDel="00000000" w:rsidP="00000000" w:rsidRDefault="00000000" w:rsidRPr="00000000" w14:paraId="00000013">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33350" cy="247650"/>
            <wp:effectExtent b="0" l="0" r="0" t="0"/>
            <wp:docPr id="32"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13335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byte length of the head packet of stream </w:t>
      </w:r>
      <w:r w:rsidDel="00000000" w:rsidR="00000000" w:rsidRPr="00000000">
        <w:rPr>
          <w:rFonts w:ascii="Google Sans" w:cs="Google Sans" w:eastAsia="Google Sans" w:hAnsi="Google Sans"/>
          <w:color w:val="1f1f1f"/>
        </w:rPr>
        <w:drawing>
          <wp:inline distB="19050" distT="19050" distL="19050" distR="19050">
            <wp:extent cx="69850" cy="272415"/>
            <wp:effectExtent b="0" l="0" r="0" t="0"/>
            <wp:docPr id="33"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69850" cy="272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765175" cy="248682"/>
            <wp:effectExtent b="0" l="0" r="0" t="0"/>
            <wp:docPr id="34"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765175" cy="2486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2"/>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color w:val="1f1f1f"/>
          <w:rtl w:val="0"/>
        </w:rPr>
        <w:t xml:space="preserve">Dispatch the packet to the QUIC socket.</w:t>
      </w:r>
    </w:p>
    <w:p w:rsidR="00000000" w:rsidDel="00000000" w:rsidP="00000000" w:rsidRDefault="00000000" w:rsidRPr="00000000" w14:paraId="00000016">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color w:val="1f1f1f"/>
        </w:rPr>
        <w:drawing>
          <wp:inline distB="19050" distT="19050" distL="19050" distR="19050">
            <wp:extent cx="1419625" cy="248275"/>
            <wp:effectExtent b="0" l="0" r="0" t="0"/>
            <wp:docPr id="35"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1419625" cy="2482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765175" cy="248682"/>
            <wp:effectExtent b="0" l="0" r="0" t="0"/>
            <wp:docPr id="36"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765175" cy="2486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color w:val="1f1f1f"/>
          <w:rtl w:val="0"/>
        </w:rPr>
        <w:t xml:space="preserve">Break the loop for this stream (wait for the next round).</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If stream </w:t>
      </w:r>
      <w:r w:rsidDel="00000000" w:rsidR="00000000" w:rsidRPr="00000000">
        <w:rPr>
          <w:rFonts w:ascii="Google Sans" w:cs="Google Sans" w:eastAsia="Google Sans" w:hAnsi="Google Sans"/>
          <w:color w:val="1f1f1f"/>
        </w:rPr>
        <w:drawing>
          <wp:inline distB="19050" distT="19050" distL="19050" distR="19050">
            <wp:extent cx="69850" cy="272415"/>
            <wp:effectExtent b="0" l="0" r="0" t="0"/>
            <wp:docPr id="37"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69850" cy="272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no remaining queued packets, </w:t>
      </w:r>
      <w:r w:rsidDel="00000000" w:rsidR="00000000" w:rsidRPr="00000000">
        <w:rPr>
          <w:rFonts w:ascii="Google Sans" w:cs="Google Sans" w:eastAsia="Google Sans" w:hAnsi="Google Sans"/>
          <w:color w:val="1f1f1f"/>
        </w:rPr>
        <w:drawing>
          <wp:inline distB="19050" distT="19050" distL="19050" distR="19050">
            <wp:extent cx="370682" cy="249251"/>
            <wp:effectExtent b="0" l="0" r="0" t="0"/>
            <wp:docPr id="38"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370682" cy="249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reset to </w:t>
      </w:r>
      <w:r w:rsidDel="00000000" w:rsidR="00000000" w:rsidRPr="00000000">
        <w:rPr>
          <w:rFonts w:ascii="Google Sans" w:cs="Google Sans" w:eastAsia="Google Sans" w:hAnsi="Google Sans"/>
          <w:color w:val="1f1f1f"/>
        </w:rPr>
        <w:drawing>
          <wp:inline distB="19050" distT="19050" distL="19050" distR="19050">
            <wp:extent cx="101600" cy="234951"/>
            <wp:effectExtent b="0" l="0" r="0" t="0"/>
            <wp:docPr id="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01600" cy="234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BW-RFC-003: Complete Session Lifecycle Specification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documents the chronological execution flow of a Blackwing session, tracing every state transition, trust verification, and resource allocation from initial device provisioning to key destruction.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Console (Client)               Control Plane (Cloud)               Agent (Server)</w:t>
        <w:br w:type="textWrapping"/>
        <w:t xml:space="preserve">  │                                     │                                 │</w:t>
        <w:br w:type="textWrapping"/>
        <w:t xml:space="preserve">  │ 1. EnrollDevice                     │                                 │</w:t>
        <w:br w:type="textWrapping"/>
        <w:t xml:space="preserve">  │────────────────────────────────────&gt;│                                 │</w:t>
        <w:br w:type="textWrapping"/>
        <w:t xml:space="preserve">  │                                     │ 2. EnrollDevice                 │</w:t>
        <w:br w:type="textWrapping"/>
        <w:t xml:space="preserve">  │                                     │&lt;────────────────────────────────│</w:t>
        <w:br w:type="textWrapping"/>
        <w:t xml:space="preserve">  │                                     │                                 │</w:t>
        <w:br w:type="textWrapping"/>
        <w:t xml:space="preserve">  │ 3. RequestSessionToken              │                                 │</w:t>
        <w:br w:type="textWrapping"/>
        <w:t xml:space="preserve">  │────────────────────────────────────&gt;│                                 │</w:t>
        <w:br w:type="textWrapping"/>
        <w:t xml:space="preserve">  │                                     │                                 │</w:t>
        <w:br w:type="textWrapping"/>
        <w:t xml:space="preserve">  │ 4. SessionTokenResponse (JWT)       │                                 │</w:t>
        <w:br w:type="textWrapping"/>
        <w:t xml:space="preserve">  │&lt;────────────────────────────────────│                                 │</w:t>
        <w:br w:type="textWrapping"/>
        <w:t xml:space="preserve">  │                                     │                                 │</w:t>
        <w:br w:type="textWrapping"/>
        <w:t xml:space="preserve">  │ 5. Initiate Session (OPAQUE PAKE Handshake via Control Plane Relay)   │</w:t>
        <w:br w:type="textWrapping"/>
        <w:t xml:space="preserve">  │──────────────────────────────────────────────────────────────────────&gt;│</w:t>
        <w:br w:type="textWrapping"/>
        <w:t xml:space="preserve">  │                                     │                                 │</w:t>
        <w:br w:type="textWrapping"/>
        <w:t xml:space="preserve">  │ 6. Pull &amp; Verify Cryptographically Signed Administrative Policies      │</w:t>
        <w:br w:type="textWrapping"/>
        <w:t xml:space="preserve">  │                                     │&lt;────────────────────────────────│</w:t>
        <w:br w:type="textWrapping"/>
        <w:t xml:space="preserve">  │                                     │                                 │</w:t>
        <w:br w:type="textWrapping"/>
        <w:t xml:space="preserve">  │ 7. Exchange Capabilities &amp; Feature Flags (CDDL CBOR Schema)           │</w:t>
        <w:br w:type="textWrapping"/>
        <w:t xml:space="preserve">  │&lt;─────────────────────────────────────────────────────────────────────&gt;│</w:t>
        <w:br w:type="textWrapping"/>
        <w:t xml:space="preserve">  │                                     │                                 │</w:t>
        <w:br w:type="textWrapping"/>
        <w:t xml:space="preserve">  │ 8. ICE-Lite Connectivity Checks &amp; STUN Direct UDP Hole Punching       │</w:t>
        <w:br w:type="textWrapping"/>
        <w:t xml:space="preserve">  │&lt;─────────────────────────────────────────────────────────────────────&gt;│</w:t>
        <w:br w:type="textWrapping"/>
        <w:t xml:space="preserve">  │                                     │                                 │</w:t>
        <w:br w:type="textWrapping"/>
        <w:t xml:space="preserve">  │ 9. Establish QUIC Connection &amp; Negotiate TLS 1.3 Ephemeral Keys       │</w:t>
        <w:br w:type="textWrapping"/>
        <w:t xml:space="preserve">  │&lt;─────────────────────────────────────────────────────────────────────&gt;│</w:t>
        <w:br w:type="textWrapping"/>
        <w:t xml:space="preserve">  │                                     │                                 │</w:t>
        <w:br w:type="textWrapping"/>
        <w:t xml:space="preserve">  │ 10. Direct Peer-to-Peer Interactive Session Live                       │</w:t>
        <w:br w:type="textWrapping"/>
        <w:t xml:space="preserve">  │&lt;─────────────────────────────────────────────────────────────────────&gt;│</w:t>
        <w:br w:type="textWrapping"/>
        <w:t xml:space="preserve">  │                                     │                                 │</w:t>
        <w:br w:type="textWrapping"/>
        <w:t xml:space="preserve">  │ 11. Core Tear-Down: Zeroize Cryptographic Keys, Upload Session Audits  │</w:t>
        <w:br w:type="textWrapping"/>
        <w:t xml:space="preserve">  │&lt;─────────────────────────────────────────────────────────────────────&gt;│</w:t>
        <w:br w:type="textWrapping"/>
        <w:br w:type="textWrapping"/>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Complete Milestone Execution Stages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Enrollment Boundary:</w:t>
      </w:r>
      <w:r w:rsidDel="00000000" w:rsidR="00000000" w:rsidRPr="00000000">
        <w:rPr>
          <w:rFonts w:ascii="Google Sans" w:cs="Google Sans" w:eastAsia="Google Sans" w:hAnsi="Google Sans"/>
          <w:color w:val="1f1f1f"/>
          <w:rtl w:val="0"/>
        </w:rPr>
        <w:t xml:space="preserve"> Both endpoints generate long-term Ed25519 identity keypairs locally. The Agent registers with the central Directory via EnrollDevice RPC, passing its public identity key and local TPM 2.0 hardware attestation statement.</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Device Identity Mapping:</w:t>
      </w:r>
      <w:r w:rsidDel="00000000" w:rsidR="00000000" w:rsidRPr="00000000">
        <w:rPr>
          <w:rFonts w:ascii="Google Sans" w:cs="Google Sans" w:eastAsia="Google Sans" w:hAnsi="Google Sans"/>
          <w:color w:val="1f1f1f"/>
          <w:rtl w:val="0"/>
        </w:rPr>
        <w:t xml:space="preserve"> The Control Plane validates the attestation, issues a tenant assignment, and stores the public key under the canonical bw-id- hex hash.</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Session Discovery:</w:t>
      </w:r>
      <w:r w:rsidDel="00000000" w:rsidR="00000000" w:rsidRPr="00000000">
        <w:rPr>
          <w:rFonts w:ascii="Google Sans" w:cs="Google Sans" w:eastAsia="Google Sans" w:hAnsi="Google Sans"/>
          <w:color w:val="1f1f1f"/>
          <w:rtl w:val="0"/>
        </w:rPr>
        <w:t xml:space="preserve"> The Console operator requests connection to the Agent. It issues RequestSessionToken to the Identity Plane, proving ownership of its console identity key via an Ed25519 signature challenge.</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Token Issuance:</w:t>
      </w:r>
      <w:r w:rsidDel="00000000" w:rsidR="00000000" w:rsidRPr="00000000">
        <w:rPr>
          <w:rFonts w:ascii="Google Sans" w:cs="Google Sans" w:eastAsia="Google Sans" w:hAnsi="Google Sans"/>
          <w:color w:val="1f1f1f"/>
          <w:rtl w:val="0"/>
        </w:rPr>
        <w:t xml:space="preserve"> The Control Plane returns an EdDSA signed JWT token containing routing metadata, session nonces, and the target Relay coordinates.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OPAQUE Cryptographic Authentication:</w:t>
      </w:r>
      <w:r w:rsidDel="00000000" w:rsidR="00000000" w:rsidRPr="00000000">
        <w:rPr>
          <w:rFonts w:ascii="Google Sans" w:cs="Google Sans" w:eastAsia="Google Sans" w:hAnsi="Google Sans"/>
          <w:color w:val="1f1f1f"/>
          <w:rtl w:val="0"/>
        </w:rPr>
        <w:t xml:space="preserve"> Operating over the secure Control Plane signaling channel, Console and Agent perform the OPAQUE PAKE protocol. This establishes mutual authentication and derives a shared high-entropy session seed without transporting credentials.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Policy Enforcement Pull:</w:t>
      </w:r>
      <w:r w:rsidDel="00000000" w:rsidR="00000000" w:rsidRPr="00000000">
        <w:rPr>
          <w:rFonts w:ascii="Google Sans" w:cs="Google Sans" w:eastAsia="Google Sans" w:hAnsi="Google Sans"/>
          <w:color w:val="1f1f1f"/>
          <w:rtl w:val="0"/>
        </w:rPr>
        <w:t xml:space="preserve"> The Agent queries the Control Plane (or reads its local offline SQLite database) to verify and cache the active signed JSON policy block.</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Capability Negotiation Handshake:</w:t>
      </w:r>
      <w:r w:rsidDel="00000000" w:rsidR="00000000" w:rsidRPr="00000000">
        <w:rPr>
          <w:rFonts w:ascii="Google Sans" w:cs="Google Sans" w:eastAsia="Google Sans" w:hAnsi="Google Sans"/>
          <w:color w:val="1f1f1f"/>
          <w:rtl w:val="0"/>
        </w:rPr>
        <w:t xml:space="preserve"> On Stream 0, the endpoints exchange capability messages using the CBOR format, negotiating matching display boundaries, supported hardware encoders, and encryption primitives.</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Connectivity Resolution:</w:t>
      </w:r>
      <w:r w:rsidDel="00000000" w:rsidR="00000000" w:rsidRPr="00000000">
        <w:rPr>
          <w:rFonts w:ascii="Google Sans" w:cs="Google Sans" w:eastAsia="Google Sans" w:hAnsi="Google Sans"/>
          <w:color w:val="1f1f1f"/>
          <w:rtl w:val="0"/>
        </w:rPr>
        <w:t xml:space="preserve"> Both endpoints query regional STUN servers to detect NAT mappings. They execute direct parallel UDP hole-punching. If Symmetric NAT is detected, both fall back to the operationally soft-state Relay Plane.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QUIC Connection Ingestion:</w:t>
      </w:r>
      <w:r w:rsidDel="00000000" w:rsidR="00000000" w:rsidRPr="00000000">
        <w:rPr>
          <w:rFonts w:ascii="Google Sans" w:cs="Google Sans" w:eastAsia="Google Sans" w:hAnsi="Google Sans"/>
          <w:color w:val="1f1f1f"/>
          <w:rtl w:val="0"/>
        </w:rPr>
        <w:t xml:space="preserve"> The endpoints establish the primary QUIC transport link. The ephemeral TLS 1.3 key exchange initializes. Ephemeral symmetric key materials are loaded into locked RAM.</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Active Execution Loop:</w:t>
      </w:r>
      <w:r w:rsidDel="00000000" w:rsidR="00000000" w:rsidRPr="00000000">
        <w:rPr>
          <w:rFonts w:ascii="Google Sans" w:cs="Google Sans" w:eastAsia="Google Sans" w:hAnsi="Google Sans"/>
          <w:color w:val="1f1f1f"/>
          <w:rtl w:val="0"/>
        </w:rPr>
        <w:t xml:space="preserve"> Display capture pipelines block on GPU V-Sync; frame textures are processed, color-converted, compressed, and piped over UDP. Interactive inputs are serialized, sequenced, and priority-scheduled.</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Session Termination &amp; Cleansing:</w:t>
      </w:r>
      <w:r w:rsidDel="00000000" w:rsidR="00000000" w:rsidRPr="00000000">
        <w:rPr>
          <w:rFonts w:ascii="Google Sans" w:cs="Google Sans" w:eastAsia="Google Sans" w:hAnsi="Google Sans"/>
          <w:color w:val="1f1f1f"/>
          <w:rtl w:val="0"/>
        </w:rPr>
        <w:t xml:space="preserve"> Upon formal logout or connection timeouts exceeding </w:t>
      </w:r>
      <w:r w:rsidDel="00000000" w:rsidR="00000000" w:rsidRPr="00000000">
        <w:rPr>
          <w:rFonts w:ascii="Google Sans" w:cs="Google Sans" w:eastAsia="Google Sans" w:hAnsi="Google Sans"/>
          <w:color w:val="1f1f1f"/>
        </w:rPr>
        <w:drawing>
          <wp:inline distB="19050" distT="19050" distL="19050" distR="19050">
            <wp:extent cx="901700" cy="234950"/>
            <wp:effectExtent b="0" l="0" r="0" t="0"/>
            <wp:docPr id="1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9017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local engine calls destructors. Memory locations containing symmetric keys, ephemeral seeds, and clipboard buffers are securely zeroized using the Zeroize trait. SRE audit records are compiled, signed, and dispatched to the log collector.</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Operational Refinement Specifications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Video Codec Preference Engine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deciding the active video stream compression algorithm during capability negotiation, Blackwing employs a capability-negotiated prioritization pipeline rather than hardcoding static options: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Capabilities Intersect       |</w:t>
        <w:br w:type="textWrapping"/>
        <w:t xml:space="preserve">                  +-----------------------------------+</w:t>
        <w:br w:type="textWrapping"/>
        <w:t xml:space="preserve">                                    │</w:t>
        <w:br w:type="textWrapping"/>
        <w:t xml:space="preserve">                                    ▼</w:t>
        <w:br w:type="textWrapping"/>
        <w:t xml:space="preserve">                  +-----------------------------------+</w:t>
        <w:br w:type="textWrapping"/>
        <w:t xml:space="preserve">                  |       AV1 Hardware Present?       |</w:t>
        <w:br w:type="textWrapping"/>
        <w:t xml:space="preserve">                  +-----------------+-----------------+</w:t>
        <w:br w:type="textWrapping"/>
        <w:t xml:space="preserve">                                    │</w:t>
        <w:br w:type="textWrapping"/>
        <w:t xml:space="preserve">                    ┌───────────────┴───────────────┐</w:t>
        <w:br w:type="textWrapping"/>
        <w:t xml:space="preserve">                    │ YES                           │ NO</w:t>
        <w:br w:type="textWrapping"/>
        <w:t xml:space="preserve">                    ▼                               ▼</w:t>
        <w:br w:type="textWrapping"/>
        <w:t xml:space="preserve">      +---------------------------+   +---------------------------+</w:t>
        <w:br w:type="textWrapping"/>
        <w:t xml:space="preserve">      |  Select AV1 (Zero-Copy)   |   |   H264 Hardware Present?  |</w:t>
        <w:br w:type="textWrapping"/>
        <w:t xml:space="preserve">      +---------------------------+   +-------------+-------------+</w:t>
        <w:br w:type="textWrapping"/>
        <w:t xml:space="preserve">                                                    │</w:t>
        <w:br w:type="textWrapping"/>
        <w:t xml:space="preserve">                                      ┌─────────────┴─────────────┐</w:t>
        <w:br w:type="textWrapping"/>
        <w:t xml:space="preserve">                                      │ YES                       │ NO</w:t>
        <w:br w:type="textWrapping"/>
        <w:t xml:space="preserve">                                      ▼                           ▼</w:t>
        <w:br w:type="textWrapping"/>
        <w:t xml:space="preserve">                        +---------------------------+   +---------------------------+</w:t>
        <w:br w:type="textWrapping"/>
        <w:t xml:space="preserve">                        |  Select H264 (Zero-Copy)  |   | Select OpenH264 Software  |</w:t>
        <w:br w:type="textWrapping"/>
        <w:t xml:space="preserve">                        +---------------------------+   +---------------------------+</w:t>
        <w:br w:type="textWrapping"/>
        <w:br w:type="textWrapping"/>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Codec Preference Policy Matrix:</w:t>
      </w:r>
    </w:p>
    <w:p w:rsidR="00000000" w:rsidDel="00000000" w:rsidP="00000000" w:rsidRDefault="00000000" w:rsidRPr="00000000" w14:paraId="0000002E">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AV1 (Hardware):</w:t>
      </w:r>
      <w:r w:rsidDel="00000000" w:rsidR="00000000" w:rsidRPr="00000000">
        <w:rPr>
          <w:rFonts w:ascii="Google Sans" w:cs="Google Sans" w:eastAsia="Google Sans" w:hAnsi="Google Sans"/>
          <w:color w:val="1f1f1f"/>
          <w:rtl w:val="0"/>
        </w:rPr>
        <w:t xml:space="preserve"> Enabled if modern GPU encoding (NVENC Gen 8, AMD VCN 4, Intel QuickSync AV1) and decoding handles are detected on both ends.</w:t>
      </w:r>
    </w:p>
    <w:p w:rsidR="00000000" w:rsidDel="00000000" w:rsidP="00000000" w:rsidRDefault="00000000" w:rsidRPr="00000000" w14:paraId="0000002F">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H.264 (Hardware):</w:t>
      </w:r>
      <w:r w:rsidDel="00000000" w:rsidR="00000000" w:rsidRPr="00000000">
        <w:rPr>
          <w:rFonts w:ascii="Google Sans" w:cs="Google Sans" w:eastAsia="Google Sans" w:hAnsi="Google Sans"/>
          <w:color w:val="1f1f1f"/>
          <w:rtl w:val="0"/>
        </w:rPr>
        <w:t xml:space="preserve"> Selected as the standard high-performance baseline if AV1 hardware paths are unavailable.</w:t>
      </w:r>
    </w:p>
    <w:p w:rsidR="00000000" w:rsidDel="00000000" w:rsidP="00000000" w:rsidRDefault="00000000" w:rsidRPr="00000000" w14:paraId="00000030">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OpenH264 (Software Fallback):</w:t>
      </w:r>
      <w:r w:rsidDel="00000000" w:rsidR="00000000" w:rsidRPr="00000000">
        <w:rPr>
          <w:rFonts w:ascii="Google Sans" w:cs="Google Sans" w:eastAsia="Google Sans" w:hAnsi="Google Sans"/>
          <w:color w:val="1f1f1f"/>
          <w:rtl w:val="0"/>
        </w:rPr>
        <w:t xml:space="preserve"> Engaged dynamically only if no graphics hardware is exposed (e.g., virtualized headless servers). It throttles resolution output to </w:t>
      </w:r>
      <w:r w:rsidDel="00000000" w:rsidR="00000000" w:rsidRPr="00000000">
        <w:rPr>
          <w:rFonts w:ascii="Google Sans" w:cs="Google Sans" w:eastAsia="Google Sans" w:hAnsi="Google Sans"/>
          <w:color w:val="1f1f1f"/>
        </w:rPr>
        <w:drawing>
          <wp:inline distB="19050" distT="19050" distL="19050" distR="19050">
            <wp:extent cx="412750" cy="238621"/>
            <wp:effectExtent b="0" l="0" r="0" t="0"/>
            <wp:docPr id="1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12750" cy="238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frame rate to </w:t>
      </w:r>
      <w:r w:rsidDel="00000000" w:rsidR="00000000" w:rsidRPr="00000000">
        <w:rPr>
          <w:rFonts w:ascii="Google Sans" w:cs="Google Sans" w:eastAsia="Google Sans" w:hAnsi="Google Sans"/>
          <w:color w:val="1f1f1f"/>
        </w:rPr>
        <w:drawing>
          <wp:inline distB="19050" distT="19050" distL="19050" distR="19050">
            <wp:extent cx="622300" cy="237372"/>
            <wp:effectExtent b="0" l="0" r="0" t="0"/>
            <wp:docPr id="1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622300" cy="2373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prevent host CPU starvation.</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Advanced Input Abstraction Layout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allow extensible physical mapping across desktop consoles and target edge endpoints (such as VR peripherals or raw engineering diagnostics), the input system structures input packages using an extensible variant abstraction: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 enum InputType {</w:t>
        <w:br w:type="textWrapping"/>
        <w:t xml:space="preserve">    Keyboard { key_code: u16, state: KeyState },</w:t>
        <w:br w:type="textWrapping"/>
        <w:t xml:space="preserve">    MouseAbsolute { x: f32, y: f32, button_mask: u16 },</w:t>
        <w:br w:type="textWrapping"/>
        <w:t xml:space="preserve">    MouseRelative { dx: f32, dy: f32, button_mask: u16 },</w:t>
        <w:br w:type="textWrapping"/>
        <w:t xml:space="preserve">    MultiTouch { touch_id: u32, x: f32, y: f32, pressure: f32 },</w:t>
        <w:br w:type="textWrapping"/>
        <w:t xml:space="preserve">    Stylus { x: f32, y: f32, pressure: f32, tilt_x: f32, tilt_y: f32 },</w:t>
        <w:br w:type="textWrapping"/>
        <w:t xml:space="preserve">    Gamepad { button_mask: u32, left_stick: (i16, i16), right_stick: (i16, i16) },</w:t>
        <w:br w:type="textWrapping"/>
        <w:t xml:space="preserve">}</w:t>
        <w:br w:type="textWrapping"/>
        <w:br w:type="textWrapping"/>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Desktop Capture Fallback Architecture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preferred DXGI Desktop Duplication API fails (such as during secure desktop transitions, UAC prompts, or driver crashes), Blackwing executes an automatic degradation cascade on Windows host systems: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[Preferred: DXGI Desktop Duplication API]</w:t>
        <w:br w:type="textWrapping"/>
        <w:t xml:space="preserve">                    │</w:t>
        <w:br w:type="textWrapping"/>
        <w:t xml:space="preserve">                    ▼ (Lost Device or UAC Prompt)</w:t>
        <w:br w:type="textWrapping"/>
        <w:t xml:space="preserve">[Secondary: Windows Graphics Capture (WGC)]</w:t>
        <w:br w:type="textWrapping"/>
        <w:t xml:space="preserve">                    │</w:t>
        <w:br w:type="textWrapping"/>
        <w:t xml:space="preserve">                    ▼ (Headless VM / Missing Compositor)</w:t>
        <w:br w:type="textWrapping"/>
        <w:t xml:space="preserve">[Tertiary: GDI Legacy BitBlt Capture]</w:t>
        <w:br w:type="textWrapping"/>
        <w:br w:type="textWrapping"/>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Linux Fallback cascade:</w:t>
      </w:r>
      <w:r w:rsidDel="00000000" w:rsidR="00000000" w:rsidRPr="00000000">
        <w:rPr>
          <w:rFonts w:ascii="Google Sans" w:cs="Google Sans" w:eastAsia="Google Sans" w:hAnsi="Google Sans"/>
          <w:color w:val="1f1f1f"/>
          <w:rtl w:val="0"/>
        </w:rPr>
        <w:t xml:space="preserve"> Wayland DMA-BUF (PipeWire) </w:t>
      </w:r>
      <w:r w:rsidDel="00000000" w:rsidR="00000000" w:rsidRPr="00000000">
        <w:rPr>
          <w:rFonts w:ascii="Google Sans" w:cs="Google Sans" w:eastAsia="Google Sans" w:hAnsi="Google Sans"/>
          <w:color w:val="1f1f1f"/>
        </w:rPr>
        <w:drawing>
          <wp:inline distB="19050" distT="19050" distL="19050" distR="19050">
            <wp:extent cx="196850" cy="234950"/>
            <wp:effectExtent b="0" l="0" r="0" t="0"/>
            <wp:docPr id="1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968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X11 XShm Shared Memory.</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macOS Fallback cascade:</w:t>
      </w:r>
      <w:r w:rsidDel="00000000" w:rsidR="00000000" w:rsidRPr="00000000">
        <w:rPr>
          <w:rFonts w:ascii="Google Sans" w:cs="Google Sans" w:eastAsia="Google Sans" w:hAnsi="Google Sans"/>
          <w:color w:val="1f1f1f"/>
          <w:rtl w:val="0"/>
        </w:rPr>
        <w:t xml:space="preserve"> ScreenCaptureKit </w:t>
      </w:r>
      <w:r w:rsidDel="00000000" w:rsidR="00000000" w:rsidRPr="00000000">
        <w:rPr>
          <w:rFonts w:ascii="Google Sans" w:cs="Google Sans" w:eastAsia="Google Sans" w:hAnsi="Google Sans"/>
          <w:color w:val="1f1f1f"/>
        </w:rPr>
        <w:drawing>
          <wp:inline distB="19050" distT="19050" distL="19050" distR="19050">
            <wp:extent cx="196850" cy="234950"/>
            <wp:effectExtent b="0" l="0" r="0" t="0"/>
            <wp:docPr id="1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968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CoreGraphics API.</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Multi-Monitor Frame Synchronization Strategy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Agent monitors and captures multiple displays (represented as independent stream objects under Stream ID 3 variants):</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Independent Frame Clocks:</w:t>
      </w:r>
      <w:r w:rsidDel="00000000" w:rsidR="00000000" w:rsidRPr="00000000">
        <w:rPr>
          <w:rFonts w:ascii="Google Sans" w:cs="Google Sans" w:eastAsia="Google Sans" w:hAnsi="Google Sans"/>
          <w:color w:val="1f1f1f"/>
          <w:rtl w:val="0"/>
        </w:rPr>
        <w:t xml:space="preserve"> Each captured display operates on its own dedicated thread and hardware encoder context. This prevents a lagging, low-refresh </w:t>
      </w:r>
      <w:r w:rsidDel="00000000" w:rsidR="00000000" w:rsidRPr="00000000">
        <w:rPr>
          <w:rFonts w:ascii="Google Sans" w:cs="Google Sans" w:eastAsia="Google Sans" w:hAnsi="Google Sans"/>
          <w:color w:val="1f1f1f"/>
        </w:rPr>
        <w:drawing>
          <wp:inline distB="19050" distT="19050" distL="19050" distR="19050">
            <wp:extent cx="488950" cy="238041"/>
            <wp:effectExtent b="0" l="0" r="0" t="0"/>
            <wp:docPr id="1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88950" cy="2380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side monitor from bottlenecking or introducing stutter into a primary </w:t>
      </w:r>
      <w:r w:rsidDel="00000000" w:rsidR="00000000" w:rsidRPr="00000000">
        <w:rPr>
          <w:rFonts w:ascii="Google Sans" w:cs="Google Sans" w:eastAsia="Google Sans" w:hAnsi="Google Sans"/>
          <w:color w:val="1f1f1f"/>
        </w:rPr>
        <w:drawing>
          <wp:inline distB="19050" distT="19050" distL="19050" distR="19050">
            <wp:extent cx="590550" cy="234950"/>
            <wp:effectExtent b="0" l="0" r="0" t="0"/>
            <wp:docPr id="16"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05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gaming/interactive display.</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Metadata Alignment:</w:t>
      </w:r>
      <w:r w:rsidDel="00000000" w:rsidR="00000000" w:rsidRPr="00000000">
        <w:rPr>
          <w:rFonts w:ascii="Google Sans" w:cs="Google Sans" w:eastAsia="Google Sans" w:hAnsi="Google Sans"/>
          <w:color w:val="1f1f1f"/>
          <w:rtl w:val="0"/>
        </w:rPr>
        <w:t xml:space="preserve"> The Console matches frame rendering pipelines based on their monotonically stamped acquisition clock offsets. If the mouse pointer transitions across monitor boundaries, the input system switches coordinates to the respective active stream space instantly.</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Automated Update Health Check API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broken update payloads from permanently bricking remote-access connectivity to headless edge nodes, the privileged update runner implements a structured state audit checklist before committing the target deployment: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 struct HealthReport {</w:t>
        <w:br w:type="textWrapping"/>
        <w:t xml:space="preserve">    pub renderer_alive: bool,     // Captured display pipeline rendering frames</w:t>
        <w:br w:type="textWrapping"/>
        <w:t xml:space="preserve">    pub ipc_alive: bool,          // Local IPC Named Pipe communicating with SYSTEM service</w:t>
        <w:br w:type="textWrapping"/>
        <w:t xml:space="preserve">    pub network_alive: bool,      // Successfully pinged Control Plane over UDP/TCP</w:t>
        <w:br w:type="textWrapping"/>
        <w:t xml:space="preserve">    pub policy_loaded: bool,      // Successfully loaded cryptographic policy DB</w:t>
        <w:br w:type="textWrapping"/>
        <w:t xml:space="preserve">    pub encoder_initialized: bool,// Hardware encoder successfully spawned textures</w:t>
        <w:br w:type="textWrapping"/>
        <w:t xml:space="preserve">}</w:t>
        <w:br w:type="textWrapping"/>
        <w:br w:type="textWrapping"/>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Enforcement:</w:t>
      </w:r>
      <w:r w:rsidDel="00000000" w:rsidR="00000000" w:rsidRPr="00000000">
        <w:rPr>
          <w:rFonts w:ascii="Google Sans" w:cs="Google Sans" w:eastAsia="Google Sans" w:hAnsi="Google Sans"/>
          <w:color w:val="1f1f1f"/>
          <w:rtl w:val="0"/>
        </w:rPr>
        <w:t xml:space="preserve"> If any metric in the HealthReport returns false during the </w:t>
      </w:r>
      <w:r w:rsidDel="00000000" w:rsidR="00000000" w:rsidRPr="00000000">
        <w:rPr>
          <w:rFonts w:ascii="Google Sans" w:cs="Google Sans" w:eastAsia="Google Sans" w:hAnsi="Google Sans"/>
          <w:color w:val="1f1f1f"/>
        </w:rPr>
        <w:drawing>
          <wp:inline distB="19050" distT="19050" distL="19050" distR="19050">
            <wp:extent cx="838200" cy="234950"/>
            <wp:effectExtent b="0" l="0" r="0" t="0"/>
            <wp:docPr id="17"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8382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verification window following an update, the Blackwing Service rolls back the local system to the backup cache directory and restarts the stable binary immediately.</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Architectural Capacities &amp; Logging Specifications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Master Allocation Capacities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runtime Out-of-Memory (OOM) situations and heap allocation latency spikes, the static allocator pools are configured to the following physical constraints:</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FramePool: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25500" cy="234950"/>
            <wp:effectExtent b="0" l="0" r="0" t="0"/>
            <wp:docPr id="18"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8255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(each pre-allocated to </w:t>
      </w:r>
      <w:r w:rsidDel="00000000" w:rsidR="00000000" w:rsidRPr="00000000">
        <w:rPr>
          <w:rFonts w:ascii="Google Sans" w:cs="Google Sans" w:eastAsia="Google Sans" w:hAnsi="Google Sans"/>
          <w:color w:val="1f1f1f"/>
        </w:rPr>
        <w:drawing>
          <wp:inline distB="19050" distT="19050" distL="19050" distR="19050">
            <wp:extent cx="469900" cy="238168"/>
            <wp:effectExtent b="0" l="0" r="0" t="0"/>
            <wp:docPr id="1"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469900" cy="238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accommodate raw 4K color conversions).</w:t>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PacketPool: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98547" cy="236315"/>
            <wp:effectExtent b="0" l="0" r="0" t="0"/>
            <wp:docPr id="2"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1098547" cy="236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(each pre-allocated to </w:t>
      </w:r>
      <w:r w:rsidDel="00000000" w:rsidR="00000000" w:rsidRPr="00000000">
        <w:rPr>
          <w:rFonts w:ascii="Google Sans" w:cs="Google Sans" w:eastAsia="Google Sans" w:hAnsi="Google Sans"/>
          <w:color w:val="1f1f1f"/>
        </w:rPr>
        <w:drawing>
          <wp:inline distB="19050" distT="19050" distL="19050" distR="19050">
            <wp:extent cx="908050" cy="236604"/>
            <wp:effectExtent b="0" l="0" r="0" t="0"/>
            <wp:docPr id="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908050" cy="236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matching the Ethernet MTU boundary).</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TexturePool: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44550" cy="234950"/>
            <wp:effectExtent b="0" l="0" r="0" t="0"/>
            <wp:docPr id="4"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8445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(VRAM resident structures, strictly bound to the active screen capture device).</w:t>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AudioPool: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27100" cy="236570"/>
            <wp:effectExtent b="0" l="0" r="0" t="0"/>
            <wp:docPr id="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927100" cy="2365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(each pre-allocated to </w:t>
      </w:r>
      <w:r w:rsidDel="00000000" w:rsidR="00000000" w:rsidRPr="00000000">
        <w:rPr>
          <w:rFonts w:ascii="Google Sans" w:cs="Google Sans" w:eastAsia="Google Sans" w:hAnsi="Google Sans"/>
          <w:color w:val="1f1f1f"/>
        </w:rPr>
        <w:drawing>
          <wp:inline distB="19050" distT="19050" distL="19050" distR="19050">
            <wp:extent cx="908050" cy="236604"/>
            <wp:effectExtent b="0" l="0" r="0" t="0"/>
            <wp:docPr id="6"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908050" cy="236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low-latency PCM frame staging).</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ClipboardPool: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47700" cy="234950"/>
            <wp:effectExtent b="0" l="0" r="0" t="0"/>
            <wp:docPr id="7"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6477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(dynamically allocated up to </w:t>
      </w:r>
      <w:r w:rsidDel="00000000" w:rsidR="00000000" w:rsidRPr="00000000">
        <w:rPr>
          <w:rFonts w:ascii="Google Sans" w:cs="Google Sans" w:eastAsia="Google Sans" w:hAnsi="Google Sans"/>
          <w:color w:val="1f1f1f"/>
        </w:rPr>
        <w:drawing>
          <wp:inline distB="19050" distT="19050" distL="19050" distR="19050">
            <wp:extent cx="571500" cy="234950"/>
            <wp:effectExtent b="0" l="0" r="0" t="0"/>
            <wp:docPr id="8"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715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maximum capacity; locked to prevent swap storage).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Structured Telemetry &amp; JSON Logging Schema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system logs are emitted as single-line structured JSON payloads conforming to this schema specification: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"$schema": "[https://blackwing.io/schemas/log.v1.json](https://blackwing.io/schemas/log.v1.json)",</w:t>
        <w:br w:type="textWrapping"/>
        <w:t xml:space="preserve">  "timestamp": "2026-07-03T17:31:00.000000Z",</w:t>
        <w:br w:type="textWrapping"/>
        <w:t xml:space="preserve">  "component": "bw-transport",</w:t>
        <w:br w:type="textWrapping"/>
        <w:t xml:space="preserve">  "thread": "QUICNetwork",</w:t>
        <w:br w:type="textWrapping"/>
        <w:t xml:space="preserve">  "severity": "WARN",</w:t>
        <w:br w:type="textWrapping"/>
        <w:t xml:space="preserve">  "session_epoch": 1289381019842,</w:t>
        <w:br w:type="textWrapping"/>
        <w:t xml:space="preserve">  "tenant": "tenant_enterprise_us_east",</w:t>
        <w:br w:type="textWrapping"/>
        <w:t xml:space="preserve">  "event_id": "EVENT_RELAY_SWITCH",</w:t>
        <w:br w:type="textWrapping"/>
        <w:t xml:space="preserve">  "message": "Direct peer path failed connectivity check; migrating session transport path to regional Relay node.",</w:t>
        <w:br w:type="textWrapping"/>
        <w:t xml:space="preserve">  "stacktrace": null</w:t>
        <w:br w:type="textWrapping"/>
        <w:t xml:space="preserve">}</w:t>
        <w:br w:type="textWrapping"/>
        <w:br w:type="textWrapping"/>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Expanded Master Error Registry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Master Error Registry is expanded to cover storage, security policy evaluation, and administrative cloud environments: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Error Code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Classification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Severity</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Meaning &amp; Diagnostic Context</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BW-6000</w:t>
      </w:r>
      <w:r w:rsidDel="00000000" w:rsidR="00000000" w:rsidRPr="00000000">
        <w:rPr>
          <w:rFonts w:ascii="Google Sans" w:cs="Google Sans" w:eastAsia="Google Sans" w:hAnsi="Google Sans"/>
          <w:color w:val="1f1f1f"/>
          <w:rtl w:val="0"/>
        </w:rPr>
        <w:t xml:space="preserve"> | Storage | High | Local Policy Database corrupt or offline SQLite file lock timeout.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BW-6001</w:t>
      </w:r>
      <w:r w:rsidDel="00000000" w:rsidR="00000000" w:rsidRPr="00000000">
        <w:rPr>
          <w:rFonts w:ascii="Google Sans" w:cs="Google Sans" w:eastAsia="Google Sans" w:hAnsi="Google Sans"/>
          <w:color w:val="1f1f1f"/>
          <w:rtl w:val="0"/>
        </w:rPr>
        <w:t xml:space="preserve"> | Storage | Medium | Dynamic write failure during persistent caching of signed credentials.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BW-7000</w:t>
      </w:r>
      <w:r w:rsidDel="00000000" w:rsidR="00000000" w:rsidRPr="00000000">
        <w:rPr>
          <w:rFonts w:ascii="Google Sans" w:cs="Google Sans" w:eastAsia="Google Sans" w:hAnsi="Google Sans"/>
          <w:color w:val="1f1f1f"/>
          <w:rtl w:val="0"/>
        </w:rPr>
        <w:t xml:space="preserve"> | Policy | Critical | Policy Signature Mismatch: Local JSON validation failed against public keys.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BW-7001</w:t>
      </w:r>
      <w:r w:rsidDel="00000000" w:rsidR="00000000" w:rsidRPr="00000000">
        <w:rPr>
          <w:rFonts w:ascii="Google Sans" w:cs="Google Sans" w:eastAsia="Google Sans" w:hAnsi="Google Sans"/>
          <w:color w:val="1f1f1f"/>
          <w:rtl w:val="0"/>
        </w:rPr>
        <w:t xml:space="preserve"> | Policy | High | Invalid Policy Structure: Deny-by-default engaged due to schema version mismatch.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BW-8000</w:t>
      </w:r>
      <w:r w:rsidDel="00000000" w:rsidR="00000000" w:rsidRPr="00000000">
        <w:rPr>
          <w:rFonts w:ascii="Google Sans" w:cs="Google Sans" w:eastAsia="Google Sans" w:hAnsi="Google Sans"/>
          <w:color w:val="1f1f1f"/>
          <w:rtl w:val="0"/>
        </w:rPr>
        <w:t xml:space="preserve"> | Cloud | High | Central gRPC Signaling Channel Timeout: Remote server unreachable.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BW-8001</w:t>
      </w:r>
      <w:r w:rsidDel="00000000" w:rsidR="00000000" w:rsidRPr="00000000">
        <w:rPr>
          <w:rFonts w:ascii="Google Sans" w:cs="Google Sans" w:eastAsia="Google Sans" w:hAnsi="Google Sans"/>
          <w:color w:val="1f1f1f"/>
          <w:rtl w:val="0"/>
        </w:rPr>
        <w:t xml:space="preserve"> | Cloud | Critical | Relay Plane Handshake Verification Failed: Signed JWT authentication rejected.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BW-9000</w:t>
      </w:r>
      <w:r w:rsidDel="00000000" w:rsidR="00000000" w:rsidRPr="00000000">
        <w:rPr>
          <w:rFonts w:ascii="Google Sans" w:cs="Google Sans" w:eastAsia="Google Sans" w:hAnsi="Google Sans"/>
          <w:color w:val="1f1f1f"/>
          <w:rtl w:val="0"/>
        </w:rPr>
        <w:t xml:space="preserve"> | Developer | Medium | Debugger attachment detected under allowed diagnostic mode setting.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BW-9001</w:t>
      </w:r>
      <w:r w:rsidDel="00000000" w:rsidR="00000000" w:rsidRPr="00000000">
        <w:rPr>
          <w:rFonts w:ascii="Google Sans" w:cs="Google Sans" w:eastAsia="Google Sans" w:hAnsi="Google Sans"/>
          <w:color w:val="1f1f1f"/>
          <w:rtl w:val="0"/>
        </w:rPr>
        <w:t xml:space="preserve"> | Developer | High | Memory Allocation Boundary Violated: Exceeded static pool bounds.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1.png"/><Relationship Id="rId21" Type="http://schemas.openxmlformats.org/officeDocument/2006/relationships/image" Target="media/image23.png"/><Relationship Id="rId24" Type="http://schemas.openxmlformats.org/officeDocument/2006/relationships/image" Target="media/image10.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26" Type="http://schemas.openxmlformats.org/officeDocument/2006/relationships/image" Target="media/image2.png"/><Relationship Id="rId25" Type="http://schemas.openxmlformats.org/officeDocument/2006/relationships/image" Target="media/image16.png"/><Relationship Id="rId28" Type="http://schemas.openxmlformats.org/officeDocument/2006/relationships/image" Target="media/image20.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29.png"/><Relationship Id="rId7" Type="http://schemas.openxmlformats.org/officeDocument/2006/relationships/image" Target="media/image15.png"/><Relationship Id="rId8" Type="http://schemas.openxmlformats.org/officeDocument/2006/relationships/image" Target="media/image25.png"/><Relationship Id="rId31" Type="http://schemas.openxmlformats.org/officeDocument/2006/relationships/image" Target="media/image6.png"/><Relationship Id="rId30" Type="http://schemas.openxmlformats.org/officeDocument/2006/relationships/image" Target="media/image12.png"/><Relationship Id="rId11" Type="http://schemas.openxmlformats.org/officeDocument/2006/relationships/image" Target="media/image27.png"/><Relationship Id="rId33" Type="http://schemas.openxmlformats.org/officeDocument/2006/relationships/image" Target="media/image14.png"/><Relationship Id="rId10" Type="http://schemas.openxmlformats.org/officeDocument/2006/relationships/image" Target="media/image17.png"/><Relationship Id="rId32" Type="http://schemas.openxmlformats.org/officeDocument/2006/relationships/image" Target="media/image11.png"/><Relationship Id="rId13" Type="http://schemas.openxmlformats.org/officeDocument/2006/relationships/image" Target="media/image24.png"/><Relationship Id="rId35" Type="http://schemas.openxmlformats.org/officeDocument/2006/relationships/image" Target="media/image13.png"/><Relationship Id="rId12" Type="http://schemas.openxmlformats.org/officeDocument/2006/relationships/image" Target="media/image18.png"/><Relationship Id="rId34" Type="http://schemas.openxmlformats.org/officeDocument/2006/relationships/image" Target="media/image5.png"/><Relationship Id="rId15" Type="http://schemas.openxmlformats.org/officeDocument/2006/relationships/image" Target="media/image30.png"/><Relationship Id="rId37" Type="http://schemas.openxmlformats.org/officeDocument/2006/relationships/image" Target="media/image7.png"/><Relationship Id="rId14" Type="http://schemas.openxmlformats.org/officeDocument/2006/relationships/image" Target="media/image19.png"/><Relationship Id="rId36" Type="http://schemas.openxmlformats.org/officeDocument/2006/relationships/image" Target="media/image8.png"/><Relationship Id="rId17" Type="http://schemas.openxmlformats.org/officeDocument/2006/relationships/image" Target="media/image21.png"/><Relationship Id="rId16" Type="http://schemas.openxmlformats.org/officeDocument/2006/relationships/image" Target="media/image22.png"/><Relationship Id="rId19" Type="http://schemas.openxmlformats.org/officeDocument/2006/relationships/image" Target="media/image32.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