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BLACKWING — Technical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WP-2.7: Relay &amp; Control Plane Architecture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Problem Definition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Project Blackwing relies on peer-to-peer (P2P) connections whenever possible, enterprise remote access requires a robust, highly available cloud infrastructure to orchestrate connectivity, manage identities, and provide fallback routing. This infrastructure must scale horizontally across geographic regions, provide multi-tenant isolation, and, crucially, uphold the Zero Trust mandate: the infrastructure must never be capable of decrypting session payloads, and compromised routing infrastructure must not compromise the enterprise.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Architectural Separation of Concerns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minimize the blast radius of any theoretical breach and optimize for different performance characteristics, the Blackwing cloud infrastructure is split into two distinct planes: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The Control Plane (Authentication &amp; Policy):</w:t>
      </w:r>
      <w:r w:rsidDel="00000000" w:rsidR="00000000" w:rsidRPr="00000000">
        <w:rPr>
          <w:rFonts w:ascii="Arial" w:cs="Arial" w:eastAsia="Arial" w:hAnsi="Arial"/>
          <w:color w:val="1f1f1f"/>
          <w:rtl w:val="0"/>
        </w:rPr>
        <w:t xml:space="preserve"> A stateful, low-throughput, highly secure environment responsible for identity, authorization, and audit logging.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The Relay Plane (Data Routing):</w:t>
      </w:r>
      <w:r w:rsidDel="00000000" w:rsidR="00000000" w:rsidRPr="00000000">
        <w:rPr>
          <w:rFonts w:ascii="Arial" w:cs="Arial" w:eastAsia="Arial" w:hAnsi="Arial"/>
          <w:color w:val="1f1f1f"/>
          <w:rtl w:val="0"/>
        </w:rPr>
        <w:t xml:space="preserve"> A stateless, high-throughput, globally distributed edge network responsible solely for blind UDP packet forwarding.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Control Plane Architecture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Control Plane acts as the source of truth for the Blackwing ecosystem. It is designed as a suite of stateless microservices (e.g., written in Go) backed by a highly available, multi-tenant database.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Responsibilities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Device Registry &amp; PKI Directory:</w:t>
      </w:r>
      <w:r w:rsidDel="00000000" w:rsidR="00000000" w:rsidRPr="00000000">
        <w:rPr>
          <w:rFonts w:ascii="Arial" w:cs="Arial" w:eastAsia="Arial" w:hAnsi="Arial"/>
          <w:color w:val="1f1f1f"/>
          <w:rtl w:val="0"/>
        </w:rPr>
        <w:t xml:space="preserve"> Stores the immutable public identity keys (</w:t>
      </w:r>
      <w:r w:rsidDel="00000000" w:rsidR="00000000" w:rsidRPr="00000000">
        <w:rPr>
          <w:rFonts w:ascii="Arial" w:cs="Arial" w:eastAsia="Arial" w:hAnsi="Arial"/>
          <w:color w:val="1f1f1f"/>
        </w:rPr>
        <w:drawing>
          <wp:inline distB="19050" distT="19050" distL="19050" distR="19050">
            <wp:extent cx="409773" cy="23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773" cy="236900"/>
                    </a:xfrm>
                    <a:prstGeom prst="rect"/>
                    <a:ln/>
                  </pic:spPr>
                </pic:pic>
              </a:graphicData>
            </a:graphic>
          </wp:inline>
        </w:drawing>
      </w:r>
      <w:r w:rsidDel="00000000" w:rsidR="00000000" w:rsidRPr="00000000">
        <w:rPr>
          <w:rFonts w:ascii="Arial" w:cs="Arial" w:eastAsia="Arial" w:hAnsi="Arial"/>
          <w:color w:val="1f1f1f"/>
          <w:rtl w:val="0"/>
        </w:rPr>
        <w:t xml:space="preserve">) of all Agents and Consoles.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Policy Engine:</w:t>
      </w:r>
      <w:r w:rsidDel="00000000" w:rsidR="00000000" w:rsidRPr="00000000">
        <w:rPr>
          <w:rFonts w:ascii="Arial" w:cs="Arial" w:eastAsia="Arial" w:hAnsi="Arial"/>
          <w:color w:val="1f1f1f"/>
          <w:rtl w:val="0"/>
        </w:rPr>
        <w:t xml:space="preserve"> Evaluates connection requests against enterprise rules (e.g., time-of-day restrictions, MFA requirements, IP geofencing).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Authorization Token Issuance:</w:t>
      </w:r>
      <w:r w:rsidDel="00000000" w:rsidR="00000000" w:rsidRPr="00000000">
        <w:rPr>
          <w:rFonts w:ascii="Arial" w:cs="Arial" w:eastAsia="Arial" w:hAnsi="Arial"/>
          <w:color w:val="1f1f1f"/>
          <w:rtl w:val="0"/>
        </w:rPr>
        <w:t xml:space="preserve"> If a connection is permitted, the Control Plane issues a short-lived, cryptographically signed Authorization Token.</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Token Properties:</w:t>
      </w:r>
      <w:r w:rsidDel="00000000" w:rsidR="00000000" w:rsidRPr="00000000">
        <w:rPr>
          <w:rFonts w:ascii="Arial" w:cs="Arial" w:eastAsia="Arial" w:hAnsi="Arial"/>
          <w:color w:val="1f1f1f"/>
          <w:rtl w:val="0"/>
        </w:rPr>
        <w:t xml:space="preserve"> Contains the Target Agent ID, Console ID, a unique Nonce, Audience binding, and a strict expiration (e.g., 5 minutes).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Revocation Workflow:</w:t>
      </w:r>
      <w:r w:rsidDel="00000000" w:rsidR="00000000" w:rsidRPr="00000000">
        <w:rPr>
          <w:rFonts w:ascii="Arial" w:cs="Arial" w:eastAsia="Arial" w:hAnsi="Arial"/>
          <w:color w:val="1f1f1f"/>
          <w:rtl w:val="0"/>
        </w:rPr>
        <w:t xml:space="preserve"> Administrators can instantly revoke a device. Revocation deletes the device's public key from the active directory and pushes an asynchronous invalidation event to the Signaling service. Short-lived tokens ensure that even if the invalidation event fails, unauthorized access expires rapidly.</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Immutable Audit Logging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To satisfy enterprise compliance (SOC2, ISO 27001), the Control Plane maintains an append-only audit log. It records connection initiations, authorization decisions, device enrollments, and key rotations. </w:t>
      </w:r>
      <w:r w:rsidDel="00000000" w:rsidR="00000000" w:rsidRPr="00000000">
        <w:rPr>
          <w:rFonts w:ascii="Arial" w:cs="Arial" w:eastAsia="Arial" w:hAnsi="Arial"/>
          <w:i w:val="1"/>
          <w:iCs w:val="1"/>
          <w:color w:val="1f1f1f"/>
          <w:rtl w:val="0"/>
        </w:rPr>
        <w:t xml:space="preserve">No session data or connection metadata (like duration or bytes transferred) is stored here, as the Control Plane does not route the traffic.</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Signaling / Rendezvous Service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Signaling service bridges the Control Plane and the endpoints. It is a high-concurrency, lightweight messaging tier (likely utilizing WebSockets or Server-Sent Events).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Presence:</w:t>
      </w:r>
      <w:r w:rsidDel="00000000" w:rsidR="00000000" w:rsidRPr="00000000">
        <w:rPr>
          <w:rFonts w:ascii="Arial" w:cs="Arial" w:eastAsia="Arial" w:hAnsi="Arial"/>
          <w:color w:val="1f1f1f"/>
          <w:rtl w:val="0"/>
        </w:rPr>
        <w:t xml:space="preserve"> Tracks whether an Agent is currently online and ready to accept connections.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Candidate Exchange:</w:t>
      </w:r>
      <w:r w:rsidDel="00000000" w:rsidR="00000000" w:rsidRPr="00000000">
        <w:rPr>
          <w:rFonts w:ascii="Arial" w:cs="Arial" w:eastAsia="Arial" w:hAnsi="Arial"/>
          <w:color w:val="1f1f1f"/>
          <w:rtl w:val="0"/>
        </w:rPr>
        <w:t xml:space="preserve"> Facilitates the exchange of NAT traversal candidates (STUN/ICE-inspired) between the Console and the Agent after the Control Plane has issued the Authorization Token.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Ephemeral State:</w:t>
      </w:r>
      <w:r w:rsidDel="00000000" w:rsidR="00000000" w:rsidRPr="00000000">
        <w:rPr>
          <w:rFonts w:ascii="Arial" w:cs="Arial" w:eastAsia="Arial" w:hAnsi="Arial"/>
          <w:color w:val="1f1f1f"/>
          <w:rtl w:val="0"/>
        </w:rPr>
        <w:t xml:space="preserve"> If the Signaling service restarts or crashes, endpoints simply reconnect and re-announce their presence. No critical data is lost.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Relay Engine (TURN / Blind Forwarding)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P2P traversal fails, endpoints fallback to the Blackwing Relay network. The Relay engine must handle massive data throughput (video, audio, input) with sub-millisecond processing overhead.</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Stateless Routing:</w:t>
      </w:r>
      <w:r w:rsidDel="00000000" w:rsidR="00000000" w:rsidRPr="00000000">
        <w:rPr>
          <w:rFonts w:ascii="Arial" w:cs="Arial" w:eastAsia="Arial" w:hAnsi="Arial"/>
          <w:color w:val="1f1f1f"/>
          <w:rtl w:val="0"/>
        </w:rPr>
        <w:t xml:space="preserve"> Unlike traditional TCP proxies, Blackwing Relays are entirely stateless. They operate at Layer 4 (UDP). They route packets based strictly on QUIC Connection IDs (CIDs).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Blind Forwarding:</w:t>
      </w:r>
      <w:r w:rsidDel="00000000" w:rsidR="00000000" w:rsidRPr="00000000">
        <w:rPr>
          <w:rFonts w:ascii="Arial" w:cs="Arial" w:eastAsia="Arial" w:hAnsi="Arial"/>
          <w:color w:val="1f1f1f"/>
          <w:rtl w:val="0"/>
        </w:rPr>
        <w:t xml:space="preserve"> The Relay possesses no cryptographic keys. It cannot inspect the QUIC payload, read the SNI (Server Name Indication), or view the traffic type. It simply takes a UDP datagram from the Console's IP/Port and forwards it to the Agent's IP/Port.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DDoS &amp; Resource Exhaustion Defense:</w:t>
      </w:r>
      <w:r w:rsidDel="00000000" w:rsidR="00000000" w:rsidRPr="00000000">
        <w:rPr>
          <w:rFonts w:ascii="Arial" w:cs="Arial" w:eastAsia="Arial" w:hAnsi="Arial"/>
          <w:color w:val="1f1f1f"/>
          <w:rtl w:val="0"/>
        </w:rPr>
        <w:t xml:space="preserve"> Relays utilize stateless address validation (QUIC Retry packets) to verify client IPs before allocating memory, neutralizing UDP amplification and spoofing attacks.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Scalability, High Availability, and Multi-Region Deployment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Enterprise latency budgets require the Relay Plane to be geographically proximate to the users, while the Control Plane can operate in fewer, centralized regions.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Global Anycast / Geo-DNS:</w:t>
      </w:r>
      <w:r w:rsidDel="00000000" w:rsidR="00000000" w:rsidRPr="00000000">
        <w:rPr>
          <w:rFonts w:ascii="Arial" w:cs="Arial" w:eastAsia="Arial" w:hAnsi="Arial"/>
          <w:color w:val="1f1f1f"/>
          <w:rtl w:val="0"/>
        </w:rPr>
        <w:t xml:space="preserve"> Endpoints resolve the Relay network using Geo-DNS or Anycast IP routing, ensuring they connect to the nearest physical edge node (e.g., Frankfurt, New York, Tokyo).</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Horizontal Scalability:</w:t>
      </w:r>
      <w:r w:rsidDel="00000000" w:rsidR="00000000" w:rsidRPr="00000000">
        <w:rPr>
          <w:rFonts w:ascii="Arial" w:cs="Arial" w:eastAsia="Arial" w:hAnsi="Arial"/>
          <w:color w:val="1f1f1f"/>
          <w:rtl w:val="0"/>
        </w:rPr>
        <w:t xml:space="preserve"> Because Relays route based on Connection IDs, traffic can be load-balanced seamlessly across an autoscaling cluster of Relay nodes within a region without dropping the underlying QUIC connection.</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Self-Hosted / Hybrid Support:</w:t>
      </w:r>
      <w:r w:rsidDel="00000000" w:rsidR="00000000" w:rsidRPr="00000000">
        <w:rPr>
          <w:rFonts w:ascii="Arial" w:cs="Arial" w:eastAsia="Arial" w:hAnsi="Arial"/>
          <w:color w:val="1f1f1f"/>
          <w:rtl w:val="0"/>
        </w:rPr>
        <w:t xml:space="preserve"> The strict separation between the Control Plane and Relay Plane allows enterprises to deploy "Hybrid Relays" within their own DMZ. The SaaS Control Plane authenticates the users, but the encrypted video traffic never leaves the enterprise's private network.</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Decision Record</w:t>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ADR-007: Cloud Infrastructure &amp; Relay Architecture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Info</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Document ID:</w:t>
      </w:r>
      <w:r w:rsidDel="00000000" w:rsidR="00000000" w:rsidRPr="00000000">
        <w:rPr>
          <w:rFonts w:ascii="Arial" w:cs="Arial" w:eastAsia="Arial" w:hAnsi="Arial"/>
          <w:color w:val="1f1f1f"/>
          <w:rtl w:val="0"/>
        </w:rPr>
        <w:t xml:space="preserve"> BW-ADR-0007</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Version:</w:t>
      </w:r>
      <w:r w:rsidDel="00000000" w:rsidR="00000000" w:rsidRPr="00000000">
        <w:rPr>
          <w:rFonts w:ascii="Arial" w:cs="Arial" w:eastAsia="Arial" w:hAnsi="Arial"/>
          <w:color w:val="1f1f1f"/>
          <w:rtl w:val="0"/>
        </w:rPr>
        <w:t xml:space="preserve"> 1.0</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Proposed</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Owner:</w:t>
      </w:r>
      <w:r w:rsidDel="00000000" w:rsidR="00000000" w:rsidRPr="00000000">
        <w:rPr>
          <w:rFonts w:ascii="Arial" w:cs="Arial" w:eastAsia="Arial" w:hAnsi="Arial"/>
          <w:color w:val="1f1f1f"/>
          <w:rtl w:val="0"/>
        </w:rPr>
        <w:t xml:space="preserve"> Principal Architecture Team</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Blackwing requires a scalable backend to manage Zero Trust authorization and provide reliable traffic relaying when P2P connections fail, all without compromising the end-to-end encryption of the user session.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Decision</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Control / Data Plane Separation:</w:t>
      </w:r>
      <w:r w:rsidDel="00000000" w:rsidR="00000000" w:rsidRPr="00000000">
        <w:rPr>
          <w:rFonts w:ascii="Arial" w:cs="Arial" w:eastAsia="Arial" w:hAnsi="Arial"/>
          <w:color w:val="1f1f1f"/>
          <w:rtl w:val="0"/>
        </w:rPr>
        <w:t xml:space="preserve"> The infrastructure will strictly separate identity management, authorization, and signaling (Control Plane) from the high-throughput transport of encrypted session payloads (Relay Plane).</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Stateless Edge Routing:</w:t>
      </w:r>
      <w:r w:rsidDel="00000000" w:rsidR="00000000" w:rsidRPr="00000000">
        <w:rPr>
          <w:rFonts w:ascii="Arial" w:cs="Arial" w:eastAsia="Arial" w:hAnsi="Arial"/>
          <w:color w:val="1f1f1f"/>
          <w:rtl w:val="0"/>
        </w:rPr>
        <w:t xml:space="preserve"> Relay nodes will operate completely statelessly, routing encrypted QUIC datagrams based solely on Connection IDs without terminating TLS or maintaining application-level connection state.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Short-Lived Authorization Tokens:</w:t>
      </w:r>
      <w:r w:rsidDel="00000000" w:rsidR="00000000" w:rsidRPr="00000000">
        <w:rPr>
          <w:rFonts w:ascii="Arial" w:cs="Arial" w:eastAsia="Arial" w:hAnsi="Arial"/>
          <w:color w:val="1f1f1f"/>
          <w:rtl w:val="0"/>
        </w:rPr>
        <w:t xml:space="preserve"> The Control Plane will gate access by issuing explicitly scoped, short-lived, signed tokens rather than persisting long-lived session state or managing transport keys.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Immutable Auditing:</w:t>
      </w:r>
      <w:r w:rsidDel="00000000" w:rsidR="00000000" w:rsidRPr="00000000">
        <w:rPr>
          <w:rFonts w:ascii="Arial" w:cs="Arial" w:eastAsia="Arial" w:hAnsi="Arial"/>
          <w:color w:val="1f1f1f"/>
          <w:rtl w:val="0"/>
        </w:rPr>
        <w:t xml:space="preserve"> The Control Plane will maintain an append-only log of all authorization decisions, administrative actions, and identity lifecycles for enterprise compliance.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Rationale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Separating the Control Plane from the Relay Plane allows them to scale independently; Relays can be scaled linearly based on bandwidth, while the Control Plane scales based on concurrency and database IOPS.</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Stateless, blind-forwarding relays ensure that a compromised edge node yields zero session data and mathematically cannot inject malicious payloads.</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Supporting Hybrid Relays solves a major enterprise pain point (data sovereignty) without requiring companies to manage complex database and identity infrastructure on-premise.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Consequences</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 Enterprise-grade security posture; resilient to edge-node compromise; highly scalable due to stateless relay design; enables easy on-premise relay deployments.</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 Endpoints must maintain connections to multiple distinct services (Signaling vs. Relay), complicating the endpoint state machine and network diagnostic logic.</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Constraint:</w:t>
      </w:r>
      <w:r w:rsidDel="00000000" w:rsidR="00000000" w:rsidRPr="00000000">
        <w:rPr>
          <w:rFonts w:ascii="Arial" w:cs="Arial" w:eastAsia="Arial" w:hAnsi="Arial"/>
          <w:color w:val="1f1f1f"/>
          <w:rtl w:val="0"/>
        </w:rPr>
        <w:t xml:space="preserve"> The Control Plane database becomes the ultimate single point of failure (SPOF) for connection establishment, requiring robust multi-region replication.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