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bw-crypto Architecture Overview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 Principles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Consumers interact with traits (e.g., SigningKey), not concrete backends.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Agnosticism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Implementations reside in src/backend/, allowing future migration (e.g., FIPS, hardware-backed) without changing downstream logic.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Safety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DeviceId is the standard currency for identifying peers, derived from public key fingerprints.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Entropy Injection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All crypto operations requiring randomness must consume the SecureRandom trait.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Crate Layout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src/random.rs: Defines SecureRandom trait.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src/identity/: SigningKey, VerifyKey, and DeviceId abstractions.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src/exchange/: EphemeralKey and SharedSecret (X25519).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src/backend/dalek.rs: Implementation of the above using ed25519-dalek.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src/tpm/: Capability-oriented traits (Tpm2Device, SoftwareTpm).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src/hkdf.rs: Domain-separated key derivation utilities.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 1 Implementation Plan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CryptoError (unified result type).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SecureRandom with an OS-provided source (getrandom).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SigningKey / VerifyKey traits and DeviceId struct.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dalek backend adapters.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known-answer test vectors (KATs) for identity/exchange flows.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