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48"/>
          <w:szCs w:val="48"/>
        </w:rPr>
      </w:pPr>
      <w:r w:rsidDel="00000000" w:rsidR="00000000" w:rsidRPr="00000000">
        <w:rPr>
          <w:rFonts w:ascii="Google Sans" w:cs="Google Sans" w:eastAsia="Google Sans" w:hAnsi="Google Sans"/>
          <w:b w:val="1"/>
          <w:bCs w:val="1"/>
          <w:i w:val="0"/>
          <w:iCs w:val="0"/>
          <w:color w:val="1f1f1f"/>
          <w:sz w:val="48"/>
          <w:szCs w:val="48"/>
          <w:rtl w:val="0"/>
        </w:rPr>
        <w:t xml:space="preserve">PROJECT BLACKWING — Technical Architecture Handbook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Document Version: 1.0-RC1 | Status: Proposed (Pending Validation)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Classification: Internal Engineering Standard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Related ADRs: ADR-001 through ADR-014</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PART I: Master Handbook &amp; Document Index</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handbook serves as the system-wide reference for developers, security auditors, and system architects. Every implementation PR must trace back to the invariants defined in this index.</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blackwing-docs/</w:t>
        <w:br w:type="textWrapping"/>
        <w:t xml:space="preserve">├── 00-governance/</w:t>
        <w:br w:type="textWrapping"/>
        <w:t xml:space="preserve">│   ├── project-charter.md</w:t>
        <w:br w:type="textWrapping"/>
        <w:t xml:space="preserve">│   └── engineering-principles.md</w:t>
        <w:br w:type="textWrapping"/>
        <w:t xml:space="preserve">├── 01-product/</w:t>
        <w:br w:type="textWrapping"/>
        <w:t xml:space="preserve">│   ├── prd-v1.0.md</w:t>
        <w:br w:type="textWrapping"/>
        <w:t xml:space="preserve">│   └── value-proposition.md</w:t>
        <w:br w:type="textWrapping"/>
        <w:t xml:space="preserve">├── 02-architecture/</w:t>
        <w:br w:type="textWrapping"/>
        <w:t xml:space="preserve">│   ├── README.md (This Master Index &amp; Protocol Spec)</w:t>
        <w:br w:type="textWrapping"/>
        <w:t xml:space="preserve">│   ├── adr/</w:t>
        <w:br w:type="textWrapping"/>
        <w:t xml:space="preserve">│   │   ├── ADR-0001-transport-quic.md</w:t>
        <w:br w:type="textWrapping"/>
        <w:t xml:space="preserve">│   │   ├── ADR-0002-traversal-framework.md</w:t>
        <w:br w:type="textWrapping"/>
        <w:t xml:space="preserve">│   │   ├── ADR-0003-display-capture.md</w:t>
        <w:br w:type="textWrapping"/>
        <w:t xml:space="preserve">│   │   ├── ADR-0004-video-encoding.md</w:t>
        <w:br w:type="textWrapping"/>
        <w:t xml:space="preserve">│   │   ├── ADR-0005-input-handling.md</w:t>
        <w:br w:type="textWrapping"/>
        <w:t xml:space="preserve">│   │   ├── ADR-0006-cryptography-trust.md</w:t>
        <w:br w:type="textWrapping"/>
        <w:t xml:space="preserve">│   │   ├── ADR-0007-cloud-infrastructure.md</w:t>
        <w:br w:type="textWrapping"/>
        <w:t xml:space="preserve">│   │   ├── ADR-0008-policy-engine.md</w:t>
        <w:br w:type="textWrapping"/>
        <w:t xml:space="preserve">│   │   ├── ADR-0009-observability-telemetry.md</w:t>
        <w:br w:type="textWrapping"/>
        <w:t xml:space="preserve">│   │   ├── ADR-0010-runtime-isolation.md</w:t>
        <w:br w:type="textWrapping"/>
        <w:t xml:space="preserve">│   │   ├── ADR-0011-fault-tolerance.md</w:t>
        <w:br w:type="textWrapping"/>
        <w:t xml:space="preserve">│   │   ├── ADR-0012-audio-pipeline.md</w:t>
        <w:br w:type="textWrapping"/>
        <w:t xml:space="preserve">│   │   ├── ADR-0013-file-transfer.md</w:t>
        <w:br w:type="textWrapping"/>
        <w:t xml:space="preserve">│   │   └── ADR-0014-supply-chain.md</w:t>
        <w:br w:type="textWrapping"/>
        <w:t xml:space="preserve">│   └── graphics-rendering-pipeline.md</w:t>
        <w:br w:type="textWrapping"/>
        <w:t xml:space="preserve">└── 03-protocols/</w:t>
        <w:br w:type="textWrapping"/>
        <w:t xml:space="preserve">    ├── wire-format-spec.md</w:t>
        <w:br w:type="textWrapping"/>
        <w:t xml:space="preserve">    └── capability-handshake.md</w:t>
        <w:br w:type="textWrapping"/>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PART II: Protocol Versioning &amp; Capability Negotiation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support long-term compatibility, backward interoperability, and continuous deployment of new features, Blackwing enforces strict, declarative Capability Negotiation.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2.1 Versioning Invariants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endpoint must present its protocol version matrix during the initial QUIC stream establishment.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Schema Version (</w:t>
      </w:r>
      <w:r w:rsidDel="00000000" w:rsidR="00000000" w:rsidRPr="00000000">
        <w:rPr>
          <w:rFonts w:ascii="Google Sans" w:cs="Google Sans" w:eastAsia="Google Sans" w:hAnsi="Google Sans"/>
          <w:b w:val="1"/>
          <w:bCs w:val="1"/>
          <w:color w:val="444746"/>
          <w:rtl w:val="0"/>
        </w:rPr>
        <w:t xml:space="preserve">u16</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Increments on breaking changes to the binary packet layouts.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Policy Version (</w:t>
      </w:r>
      <w:r w:rsidDel="00000000" w:rsidR="00000000" w:rsidRPr="00000000">
        <w:rPr>
          <w:rFonts w:ascii="Google Sans" w:cs="Google Sans" w:eastAsia="Google Sans" w:hAnsi="Google Sans"/>
          <w:b w:val="1"/>
          <w:bCs w:val="1"/>
          <w:color w:val="444746"/>
          <w:rtl w:val="0"/>
        </w:rPr>
        <w:t xml:space="preserve">u32</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Tracks the administrative rule generation index.</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Generation Number (</w:t>
      </w:r>
      <w:r w:rsidDel="00000000" w:rsidR="00000000" w:rsidRPr="00000000">
        <w:rPr>
          <w:rFonts w:ascii="Google Sans" w:cs="Google Sans" w:eastAsia="Google Sans" w:hAnsi="Google Sans"/>
          <w:b w:val="1"/>
          <w:bCs w:val="1"/>
          <w:color w:val="444746"/>
          <w:rtl w:val="0"/>
        </w:rPr>
        <w:t xml:space="preserve">u64</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Monotonic integer matching the build compilation epoch.</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Backward Compatibility Bound:</w:t>
      </w:r>
      <w:r w:rsidDel="00000000" w:rsidR="00000000" w:rsidRPr="00000000">
        <w:rPr>
          <w:rFonts w:ascii="Google Sans" w:cs="Google Sans" w:eastAsia="Google Sans" w:hAnsi="Google Sans"/>
          <w:color w:val="1f1f1f"/>
          <w:rtl w:val="0"/>
        </w:rPr>
        <w:t xml:space="preserve"> Endpoints must reject connections where the peer's </w:t>
      </w:r>
      <w:r w:rsidDel="00000000" w:rsidR="00000000" w:rsidRPr="00000000">
        <w:rPr>
          <w:rFonts w:ascii="Google Sans" w:cs="Google Sans" w:eastAsia="Google Sans" w:hAnsi="Google Sans"/>
          <w:color w:val="444746"/>
          <w:rtl w:val="0"/>
        </w:rPr>
        <w:t xml:space="preserve">Schema Version</w:t>
      </w:r>
      <w:r w:rsidDel="00000000" w:rsidR="00000000" w:rsidRPr="00000000">
        <w:rPr>
          <w:rFonts w:ascii="Google Sans" w:cs="Google Sans" w:eastAsia="Google Sans" w:hAnsi="Google Sans"/>
          <w:color w:val="1f1f1f"/>
          <w:rtl w:val="0"/>
        </w:rPr>
        <w:t xml:space="preserve"> is lower than the minimum supported bounds (e.g., </w:t>
      </w:r>
      <w:r w:rsidDel="00000000" w:rsidR="00000000" w:rsidRPr="00000000">
        <w:rPr>
          <w:rFonts w:ascii="Google Sans" w:cs="Google Sans" w:eastAsia="Google Sans" w:hAnsi="Google Sans"/>
          <w:color w:val="1f1f1f"/>
        </w:rPr>
        <w:drawing>
          <wp:inline distB="19050" distT="19050" distL="19050" distR="19050">
            <wp:extent cx="1677591" cy="349498"/>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677591" cy="3494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2.2 Capability Negotiation Lifecycle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any media stream starts, the Console and Agent execute a capabilities handshake on the dedicated control stream (</w:t>
      </w:r>
      <w:r w:rsidDel="00000000" w:rsidR="00000000" w:rsidRPr="00000000">
        <w:rPr>
          <w:rFonts w:ascii="Google Sans" w:cs="Google Sans" w:eastAsia="Google Sans" w:hAnsi="Google Sans"/>
          <w:color w:val="444746"/>
          <w:rtl w:val="0"/>
        </w:rPr>
        <w:t xml:space="preserve">Stream 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  Console                                                     Agent</w:t>
        <w:br w:type="textWrapping"/>
        <w:t xml:space="preserve">     │                                                          │</w:t>
        <w:br w:type="textWrapping"/>
        <w:t xml:space="preserve">     │  1. Client Hello (Caps + Feature Flags)                  │</w:t>
        <w:br w:type="textWrapping"/>
        <w:t xml:space="preserve">     │─────────────────────────────────────────────────────────&gt;│</w:t>
        <w:br w:type="textWrapping"/>
        <w:t xml:space="preserve">     │                                                          │ [Policy Evaluation]</w:t>
        <w:br w:type="textWrapping"/>
        <w:t xml:space="preserve">     │                                                          │ [Hardware Detection]</w:t>
        <w:br w:type="textWrapping"/>
        <w:t xml:space="preserve">     │  2. Server Hello (Intersected Capabilities Selected)      │</w:t>
        <w:br w:type="textWrapping"/>
        <w:t xml:space="preserve">     │&lt;─────────────────────────────────────────────────────────│</w:t>
        <w:br w:type="textWrapping"/>
        <w:t xml:space="preserve">     │                                                          │</w:t>
        <w:br w:type="textWrapping"/>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2.3 Feature Flag Manifest Schema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Capabilities are sent as a packed binary bitmask or a highly constrained CBOR payload (never raw JSON) to fit within a single network MTU (</w:t>
      </w:r>
      <w:r w:rsidDel="00000000" w:rsidR="00000000" w:rsidRPr="00000000">
        <w:rPr>
          <w:rFonts w:ascii="Google Sans" w:cs="Google Sans" w:eastAsia="Google Sans" w:hAnsi="Google Sans"/>
          <w:color w:val="1f1f1f"/>
        </w:rPr>
        <w:drawing>
          <wp:inline distB="19050" distT="19050" distL="19050" distR="19050">
            <wp:extent cx="613172" cy="35129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3172" cy="3512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struct SessionCapabilities {</w:t>
        <w:br w:type="textWrapping"/>
        <w:t xml:space="preserve">    schema_version: u16,</w:t>
        <w:br w:type="textWrapping"/>
        <w:t xml:space="preserve">    min_supported_version: u16,</w:t>
        <w:br w:type="textWrapping"/>
        <w:t xml:space="preserve">    codecs_mask: u16,            // Bits: 0=H264, 1=AV1, 2=HEVC, 3..15=Reserved</w:t>
        <w:br w:type="textWrapping"/>
        <w:t xml:space="preserve">    audio_mask: u8,              // Bits: 0=Opus 48k, 1=Opus 24k, 2=PCM, 3..7=Reserved</w:t>
        <w:br w:type="textWrapping"/>
        <w:t xml:space="preserve">    input_capabilities: u8,       // Bits: 0=Absolute, 1=Relative, 2=Multi-Touch, 3=Stylus</w:t>
        <w:br w:type="textWrapping"/>
        <w:t xml:space="preserve">    security_features: u16,      // Bits: 0=TPM_Attested, 1=MemoryLocked, 2=HardwareToken</w:t>
        <w:br w:type="textWrapping"/>
        <w:t xml:space="preserve">    display_profile: DisplayCapabilities,</w:t>
        <w:br w:type="textWrapping"/>
        <w:t xml:space="preserve">}</w:t>
        <w:br w:type="textWrapping"/>
        <w:br w:type="textWrapping"/>
        <w:t xml:space="preserve">struct DisplayCapabilities {</w:t>
        <w:br w:type="textWrapping"/>
        <w:t xml:space="preserve">    max_resolution_width: u16,</w:t>
        <w:br w:type="textWrapping"/>
        <w:t xml:space="preserve">    max_resolution_height: u16,</w:t>
        <w:br w:type="textWrapping"/>
        <w:t xml:space="preserve">    max_fps: u8,</w:t>
        <w:br w:type="textWrapping"/>
        <w:t xml:space="preserve">    monitor_count: u8,</w:t>
        <w:br w:type="textWrapping"/>
        <w:t xml:space="preserve">    hdr_support: bool,</w:t>
        <w:br w:type="textWrapping"/>
        <w:t xml:space="preserve">}</w:t>
        <w:br w:type="textWrapping"/>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Invariant rule:</w:t>
      </w:r>
      <w:r w:rsidDel="00000000" w:rsidR="00000000" w:rsidRPr="00000000">
        <w:rPr>
          <w:rFonts w:ascii="Google Sans" w:cs="Google Sans" w:eastAsia="Google Sans" w:hAnsi="Google Sans"/>
          <w:color w:val="1f1f1f"/>
          <w:rtl w:val="0"/>
        </w:rPr>
        <w:t xml:space="preserve"> Every undefined capability evaluated during the handshake must automatically evaluate to </w:t>
      </w:r>
      <w:r w:rsidDel="00000000" w:rsidR="00000000" w:rsidRPr="00000000">
        <w:rPr>
          <w:rFonts w:ascii="Google Sans" w:cs="Google Sans" w:eastAsia="Google Sans" w:hAnsi="Google Sans"/>
          <w:b w:val="1"/>
          <w:bCs w:val="1"/>
          <w:color w:val="1f1f1f"/>
          <w:rtl w:val="0"/>
        </w:rPr>
        <w:t xml:space="preserve">DENY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PART III: QUIC Stream Registry &amp; Binary Packet Layouts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3.1 Stream Registry Allocation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Blackwing maps distinct logical streams inside the single QUIC connection to dedicated IDs and scheduling priority classes.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Stream 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Delivery Guarantee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Priority Class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Congestion Pacing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Session Control &amp; Signaling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 Ordered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444746"/>
                <w:shd w:fill="auto" w:val="clear"/>
                <w:rtl w:val="0"/>
              </w:rPr>
              <w:t xml:space="preserve">Control</w:t>
            </w:r>
            <w:r w:rsidDel="00000000" w:rsidR="00000000" w:rsidRPr="00000000">
              <w:rPr>
                <w:rFonts w:ascii="Google Sans" w:cs="Google Sans" w:eastAsia="Google Sans" w:hAnsi="Google Sans"/>
                <w:color w:val="1f1f1f"/>
                <w:shd w:fill="auto" w:val="clear"/>
                <w:rtl w:val="0"/>
              </w:rPr>
              <w:t xml:space="preserve"> (Highest)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Active Pacing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Keyboard &amp; State Events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 Ordered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auto" w:val="clear"/>
              </w:rPr>
            </w:pPr>
            <w:r w:rsidDel="00000000" w:rsidR="00000000" w:rsidRPr="00000000">
              <w:rPr>
                <w:rFonts w:ascii="Google Sans" w:cs="Google Sans" w:eastAsia="Google Sans" w:hAnsi="Google Sans"/>
                <w:color w:val="444746"/>
                <w:shd w:fill="auto" w:val="clear"/>
                <w:rtl w:val="0"/>
              </w:rPr>
              <w:t xml:space="preserve">Interactive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Immediate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Mouse Telemetry &amp; Pointer Coordinates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Unreliable (DATAGRAM)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auto" w:val="clear"/>
              </w:rPr>
            </w:pPr>
            <w:r w:rsidDel="00000000" w:rsidR="00000000" w:rsidRPr="00000000">
              <w:rPr>
                <w:rFonts w:ascii="Google Sans" w:cs="Google Sans" w:eastAsia="Google Sans" w:hAnsi="Google Sans"/>
                <w:color w:val="444746"/>
                <w:shd w:fill="auto" w:val="clear"/>
                <w:rtl w:val="0"/>
              </w:rPr>
              <w:t xml:space="preserve">Interactive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Immediate / Drop-Oldest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Video Payload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Unreliable (DATAGRAM)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auto" w:val="clear"/>
              </w:rPr>
            </w:pPr>
            <w:r w:rsidDel="00000000" w:rsidR="00000000" w:rsidRPr="00000000">
              <w:rPr>
                <w:rFonts w:ascii="Google Sans" w:cs="Google Sans" w:eastAsia="Google Sans" w:hAnsi="Google Sans"/>
                <w:color w:val="444746"/>
                <w:shd w:fill="auto" w:val="clear"/>
                <w:rtl w:val="0"/>
              </w:rPr>
              <w:t xml:space="preserve">Media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BBR Shuffled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High-Fidelity Audio Payload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Unreliable (DATAGRAM)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auto" w:val="clear"/>
              </w:rPr>
            </w:pPr>
            <w:r w:rsidDel="00000000" w:rsidR="00000000" w:rsidRPr="00000000">
              <w:rPr>
                <w:rFonts w:ascii="Google Sans" w:cs="Google Sans" w:eastAsia="Google Sans" w:hAnsi="Google Sans"/>
                <w:color w:val="444746"/>
                <w:shd w:fill="auto" w:val="clear"/>
                <w:rtl w:val="0"/>
              </w:rPr>
              <w:t xml:space="preserve">Media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Clipboard Sync Channel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 Ordered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auto" w:val="clear"/>
              </w:rPr>
            </w:pPr>
            <w:r w:rsidDel="00000000" w:rsidR="00000000" w:rsidRPr="00000000">
              <w:rPr>
                <w:rFonts w:ascii="Google Sans" w:cs="Google Sans" w:eastAsia="Google Sans" w:hAnsi="Google Sans"/>
                <w:color w:val="444746"/>
                <w:shd w:fill="auto" w:val="clear"/>
                <w:rtl w:val="0"/>
              </w:rPr>
              <w:t xml:space="preserve">Synchronization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TCP-Friendly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File Transfer Data Channel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 Ordered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444746"/>
                <w:shd w:fill="auto" w:val="clear"/>
                <w:rtl w:val="0"/>
              </w:rPr>
              <w:t xml:space="preserve">Bulk</w:t>
            </w:r>
            <w:r w:rsidDel="00000000" w:rsidR="00000000" w:rsidRPr="00000000">
              <w:rPr>
                <w:rFonts w:ascii="Google Sans" w:cs="Google Sans" w:eastAsia="Google Sans" w:hAnsi="Google Sans"/>
                <w:color w:val="1f1f1f"/>
                <w:shd w:fill="auto" w:val="clear"/>
                <w:rtl w:val="0"/>
              </w:rPr>
              <w:t xml:space="preserve"> (Lowest)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Restricted (Max 25% Link)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Telemetry &amp; Ring Buffer Metrics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 Ordered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auto" w:val="clear"/>
              </w:rPr>
            </w:pPr>
            <w:r w:rsidDel="00000000" w:rsidR="00000000" w:rsidRPr="00000000">
              <w:rPr>
                <w:rFonts w:ascii="Google Sans" w:cs="Google Sans" w:eastAsia="Google Sans" w:hAnsi="Google Sans"/>
                <w:color w:val="444746"/>
                <w:shd w:fill="auto" w:val="clear"/>
                <w:rtl w:val="0"/>
              </w:rPr>
              <w:t xml:space="preserve">Diagnostics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Background</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3.2 Binary Wire Format (The "Blackwing Packet Header")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application payload passing over a reliable QUIC stream or unreliable QUIC DATAGRAM frame must begin with the standard 16-byte fixed-width header.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 0                   1                   2                   3</w:t>
        <w:br w:type="textWrapping"/>
        <w:t xml:space="preserve"> 0 1 2 3 4 5 6 7 8 9 0 1 2 3 4 5 6 7 8 9 0 1 2 3 4 5 6 7 8 9 0 1</w:t>
        <w:br w:type="textWrapping"/>
        <w:t xml:space="preserve">+-+-+-+-+-+-+-+-+-+-+-+-+-+-+-+-+-+-+-+-+-+-+-+-+-+-+-+-+-+-+-+-+</w:t>
        <w:br w:type="textWrapping"/>
        <w:t xml:space="preserve">|          Version              |             Flags             |</w:t>
        <w:br w:type="textWrapping"/>
        <w:t xml:space="preserve">+-+-+-+-+-+-+-+-+-+-+-+-+-+-+-+-+-+-+-+-+-+-+-+-+-+-+-+-+-+-+-+-+</w:t>
        <w:br w:type="textWrapping"/>
        <w:t xml:space="preserve">|          Packet Type          |         Payload Length        |</w:t>
        <w:br w:type="textWrapping"/>
        <w:t xml:space="preserve">+-+-+-+-+-+-+-+-+-+-+-+-+-+-+-+-+-+-+-+-+-+-+-+-+-+-+-+-+-+-+-+-+</w:t>
        <w:br w:type="textWrapping"/>
        <w:t xml:space="preserve">|                       Sequence Number                         |</w:t>
        <w:br w:type="textWrapping"/>
        <w:t xml:space="preserve">+-+-+-+-+-+-+-+-+-+-+-+-+-+-+-+-+-+-+-+-+-+-+-+-+-+-+-+-+-+-+-+-+</w:t>
        <w:br w:type="textWrapping"/>
        <w:t xml:space="preserve">|                           Timestamp                           |</w:t>
        <w:br w:type="textWrapping"/>
        <w:t xml:space="preserve">+-+-+-+-+-+-+-+-+-+-+-+-+-+-+-+-+-+-+-+-+-+-+-+-+-+-+-+-+-+-+-+-+</w:t>
        <w:br w:type="textWrapping"/>
        <w:t xml:space="preserve">|                       Payload Data...                         |</w:t>
        <w:br w:type="textWrapping"/>
        <w:t xml:space="preserve">+-+-+-+-+-+-+-+-+-+-+-+-+-+-+-+-+-+-+-+-+-+-+-+-+-+-+-+-+-+-+-+-+</w:t>
        <w:br w:type="textWrapping"/>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Header Bit-Offset Definition:</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Version (16-bits, Offset 0):</w:t>
      </w:r>
      <w:r w:rsidDel="00000000" w:rsidR="00000000" w:rsidRPr="00000000">
        <w:rPr>
          <w:rFonts w:ascii="Google Sans" w:cs="Google Sans" w:eastAsia="Google Sans" w:hAnsi="Google Sans"/>
          <w:color w:val="1f1f1f"/>
          <w:rtl w:val="0"/>
        </w:rPr>
        <w:t xml:space="preserve"> Current Active Schema Version of the sending node.</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Flags (16-bits, Offset 16):</w:t>
      </w:r>
      <w:r w:rsidDel="00000000" w:rsidR="00000000" w:rsidRPr="00000000">
        <w:rPr>
          <w:rFonts w:ascii="Google Sans" w:cs="Google Sans" w:eastAsia="Google Sans" w:hAnsi="Google Sans"/>
          <w:color w:val="1f1f1f"/>
          <w:rtl w:val="0"/>
        </w:rPr>
        <w:t xml:space="preserve"> Bit fields indicating payload properties:</w:t>
      </w:r>
    </w:p>
    <w:p w:rsidR="00000000" w:rsidDel="00000000" w:rsidP="00000000" w:rsidRDefault="00000000" w:rsidRPr="00000000" w14:paraId="0000004D">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444746"/>
          <w:rtl w:val="0"/>
        </w:rPr>
        <w:t xml:space="preserve">0x0001</w:t>
      </w:r>
      <w:r w:rsidDel="00000000" w:rsidR="00000000" w:rsidRPr="00000000">
        <w:rPr>
          <w:rFonts w:ascii="Google Sans" w:cs="Google Sans" w:eastAsia="Google Sans" w:hAnsi="Google Sans"/>
          <w:color w:val="1f1f1f"/>
          <w:rtl w:val="0"/>
        </w:rPr>
        <w:t xml:space="preserve"> - Payload is encrypted.</w:t>
      </w:r>
    </w:p>
    <w:p w:rsidR="00000000" w:rsidDel="00000000" w:rsidP="00000000" w:rsidRDefault="00000000" w:rsidRPr="00000000" w14:paraId="0000004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444746"/>
          <w:rtl w:val="0"/>
        </w:rPr>
        <w:t xml:space="preserve">0x0002</w:t>
      </w:r>
      <w:r w:rsidDel="00000000" w:rsidR="00000000" w:rsidRPr="00000000">
        <w:rPr>
          <w:rFonts w:ascii="Google Sans" w:cs="Google Sans" w:eastAsia="Google Sans" w:hAnsi="Google Sans"/>
          <w:color w:val="1f1f1f"/>
          <w:rtl w:val="0"/>
        </w:rPr>
        <w:t xml:space="preserve"> - Resynchronization frame required (IDR / Keyframe request).</w:t>
      </w:r>
    </w:p>
    <w:p w:rsidR="00000000" w:rsidDel="00000000" w:rsidP="00000000" w:rsidRDefault="00000000" w:rsidRPr="00000000" w14:paraId="0000004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444746"/>
          <w:rtl w:val="0"/>
        </w:rPr>
        <w:t xml:space="preserve">0x0004</w:t>
      </w:r>
      <w:r w:rsidDel="00000000" w:rsidR="00000000" w:rsidRPr="00000000">
        <w:rPr>
          <w:rFonts w:ascii="Google Sans" w:cs="Google Sans" w:eastAsia="Google Sans" w:hAnsi="Google Sans"/>
          <w:color w:val="1f1f1f"/>
          <w:rtl w:val="0"/>
        </w:rPr>
        <w:t xml:space="preserve"> - Dynamic priority elevation requested.</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Packet Type (16-bits, Offset 32):</w:t>
      </w:r>
      <w:r w:rsidDel="00000000" w:rsidR="00000000" w:rsidRPr="00000000">
        <w:rPr>
          <w:rFonts w:ascii="Google Sans" w:cs="Google Sans" w:eastAsia="Google Sans" w:hAnsi="Google Sans"/>
          <w:color w:val="1f1f1f"/>
          <w:rtl w:val="0"/>
        </w:rPr>
        <w:t xml:space="preserve"> Enum mapping (e.g., </w:t>
      </w:r>
      <w:r w:rsidDel="00000000" w:rsidR="00000000" w:rsidRPr="00000000">
        <w:rPr>
          <w:rFonts w:ascii="Google Sans" w:cs="Google Sans" w:eastAsia="Google Sans" w:hAnsi="Google Sans"/>
          <w:color w:val="444746"/>
          <w:rtl w:val="0"/>
        </w:rPr>
        <w:t xml:space="preserve">0x0001</w:t>
      </w:r>
      <w:r w:rsidDel="00000000" w:rsidR="00000000" w:rsidRPr="00000000">
        <w:rPr>
          <w:rFonts w:ascii="Google Sans" w:cs="Google Sans" w:eastAsia="Google Sans" w:hAnsi="Google Sans"/>
          <w:color w:val="1f1f1f"/>
          <w:rtl w:val="0"/>
        </w:rPr>
        <w:t xml:space="preserve"> = Keyframe, </w:t>
      </w:r>
      <w:r w:rsidDel="00000000" w:rsidR="00000000" w:rsidRPr="00000000">
        <w:rPr>
          <w:rFonts w:ascii="Google Sans" w:cs="Google Sans" w:eastAsia="Google Sans" w:hAnsi="Google Sans"/>
          <w:color w:val="444746"/>
          <w:rtl w:val="0"/>
        </w:rPr>
        <w:t xml:space="preserve">0x0002</w:t>
      </w:r>
      <w:r w:rsidDel="00000000" w:rsidR="00000000" w:rsidRPr="00000000">
        <w:rPr>
          <w:rFonts w:ascii="Google Sans" w:cs="Google Sans" w:eastAsia="Google Sans" w:hAnsi="Google Sans"/>
          <w:color w:val="1f1f1f"/>
          <w:rtl w:val="0"/>
        </w:rPr>
        <w:t xml:space="preserve"> = Delta Frame, </w:t>
      </w:r>
      <w:r w:rsidDel="00000000" w:rsidR="00000000" w:rsidRPr="00000000">
        <w:rPr>
          <w:rFonts w:ascii="Google Sans" w:cs="Google Sans" w:eastAsia="Google Sans" w:hAnsi="Google Sans"/>
          <w:color w:val="444746"/>
          <w:rtl w:val="0"/>
        </w:rPr>
        <w:t xml:space="preserve">0x0003</w:t>
      </w:r>
      <w:r w:rsidDel="00000000" w:rsidR="00000000" w:rsidRPr="00000000">
        <w:rPr>
          <w:rFonts w:ascii="Google Sans" w:cs="Google Sans" w:eastAsia="Google Sans" w:hAnsi="Google Sans"/>
          <w:color w:val="1f1f1f"/>
          <w:rtl w:val="0"/>
        </w:rPr>
        <w:t xml:space="preserve"> = Keyboard Event, </w:t>
      </w:r>
      <w:r w:rsidDel="00000000" w:rsidR="00000000" w:rsidRPr="00000000">
        <w:rPr>
          <w:rFonts w:ascii="Google Sans" w:cs="Google Sans" w:eastAsia="Google Sans" w:hAnsi="Google Sans"/>
          <w:color w:val="444746"/>
          <w:rtl w:val="0"/>
        </w:rPr>
        <w:t xml:space="preserve">0x0004</w:t>
      </w:r>
      <w:r w:rsidDel="00000000" w:rsidR="00000000" w:rsidRPr="00000000">
        <w:rPr>
          <w:rFonts w:ascii="Google Sans" w:cs="Google Sans" w:eastAsia="Google Sans" w:hAnsi="Google Sans"/>
          <w:color w:val="1f1f1f"/>
          <w:rtl w:val="0"/>
        </w:rPr>
        <w:t xml:space="preserve"> = Mouse Movement).</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Payload Length (16-bits, Offset 48):</w:t>
      </w:r>
      <w:r w:rsidDel="00000000" w:rsidR="00000000" w:rsidRPr="00000000">
        <w:rPr>
          <w:rFonts w:ascii="Google Sans" w:cs="Google Sans" w:eastAsia="Google Sans" w:hAnsi="Google Sans"/>
          <w:color w:val="1f1f1f"/>
          <w:rtl w:val="0"/>
        </w:rPr>
        <w:t xml:space="preserve"> Length of downstream payload, excluding header. Max length is </w:t>
      </w:r>
      <w:r w:rsidDel="00000000" w:rsidR="00000000" w:rsidRPr="00000000">
        <w:rPr>
          <w:rFonts w:ascii="Google Sans" w:cs="Google Sans" w:eastAsia="Google Sans" w:hAnsi="Google Sans"/>
          <w:color w:val="1f1f1f"/>
        </w:rPr>
        <w:drawing>
          <wp:inline distB="19050" distT="19050" distL="19050" distR="19050">
            <wp:extent cx="597793" cy="349772"/>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7793" cy="349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Sequence Number (32-bits, Offset 64):</w:t>
      </w:r>
      <w:r w:rsidDel="00000000" w:rsidR="00000000" w:rsidRPr="00000000">
        <w:rPr>
          <w:rFonts w:ascii="Google Sans" w:cs="Google Sans" w:eastAsia="Google Sans" w:hAnsi="Google Sans"/>
          <w:color w:val="1f1f1f"/>
          <w:rtl w:val="0"/>
        </w:rPr>
        <w:t xml:space="preserve"> Monotonic incrementing sequence counter. Used for replay protection and packet loss mapping on unreliable streams.</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Timestamp (32-bits, Offset 96):</w:t>
      </w:r>
      <w:r w:rsidDel="00000000" w:rsidR="00000000" w:rsidRPr="00000000">
        <w:rPr>
          <w:rFonts w:ascii="Google Sans" w:cs="Google Sans" w:eastAsia="Google Sans" w:hAnsi="Google Sans"/>
          <w:color w:val="1f1f1f"/>
          <w:rtl w:val="0"/>
        </w:rPr>
        <w:t xml:space="preserve"> Monotonic microsecond timestamp relative to session origin, derived from the invariant monotonic clock.</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PART IV: GPU Resource Lifetimes, Threads &amp; Memory Pooling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driver crashes, heap fragmentation, and garbage collection pauses under high frame rates (</w:t>
      </w:r>
      <w:r w:rsidDel="00000000" w:rsidR="00000000" w:rsidRPr="00000000">
        <w:rPr>
          <w:rFonts w:ascii="Google Sans" w:cs="Google Sans" w:eastAsia="Google Sans" w:hAnsi="Google Sans"/>
          <w:color w:val="1f1f1f"/>
        </w:rPr>
        <w:drawing>
          <wp:inline distB="19050" distT="19050" distL="19050" distR="19050">
            <wp:extent cx="1130303" cy="349251"/>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0303" cy="3492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memory allocations must be static and deterministic.</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4.1 The Zero-Copy VRAM Texture Lifecycle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restrict VRAM allocations by maintaining a rigid, pre-allocated GPU Texture Pool inside the Session Runner process.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       [Init State] ────► Allocate GPU Texture Pool (Fixed Size: 4 Slots)</w:t>
        <w:br w:type="textWrapping"/>
        <w:t xml:space="preserve">                                 │</w:t>
        <w:br w:type="textWrapping"/>
        <w:t xml:space="preserve">┌────────────────────────────────┴────────────────────────────────┐</w:t>
        <w:br w:type="textWrapping"/>
        <w:t xml:space="preserve">│                                                                 │</w:t>
        <w:br w:type="textWrapping"/>
        <w:t xml:space="preserve">▼ (Acquire Slot 0)                                                │</w:t>
        <w:br w:type="textWrapping"/>
        <w:t xml:space="preserve">1. DXGI Captures Desktop ──► D3D11 Shared Texture Handle          │ (Overwrite Slot 0)</w:t>
        <w:br w:type="textWrapping"/>
        <w:t xml:space="preserve">                                 │                                │ if Pipeline Stalls</w:t>
        <w:br w:type="textWrapping"/>
        <w:t xml:space="preserve">                                 ▼                                │</w:t>
        <w:br w:type="textWrapping"/>
        <w:t xml:space="preserve">2. Compute Shader CSC ─────► Converts BGRA to NV12 VRAM Surface   │</w:t>
        <w:br w:type="textWrapping"/>
        <w:t xml:space="preserve">                                 │                                │</w:t>
        <w:br w:type="textWrapping"/>
        <w:t xml:space="preserve">                                 ▼                                │</w:t>
        <w:br w:type="textWrapping"/>
        <w:t xml:space="preserve">3. Encoder MFT ────────────► Consumes NV12 Surface Handle         │</w:t>
        <w:br w:type="textWrapping"/>
        <w:t xml:space="preserve">                                 │                                │</w:t>
        <w:br w:type="textWrapping"/>
        <w:t xml:space="preserve">                                 ▼                                │</w:t>
        <w:br w:type="textWrapping"/>
        <w:t xml:space="preserve">4. Release Texture Slot ───► Return Slot 0 to Pool ◄──────────────┘</w:t>
        <w:br w:type="textWrapping"/>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4.2 Explicit Memory Pooling (CPU)</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Heap allocation inside the network streaming pipeline is highly restricted. We enforce two major pools:</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444746"/>
          <w:rtl w:val="0"/>
        </w:rPr>
        <w:t xml:space="preserve">FramePool</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Fixed allocation of contiguous buffers matching the target codec's max slice constraints. Frame chunks are checked out, written to, and returned without triggering system allocator </w:t>
      </w:r>
      <w:r w:rsidDel="00000000" w:rsidR="00000000" w:rsidRPr="00000000">
        <w:rPr>
          <w:rFonts w:ascii="Google Sans" w:cs="Google Sans" w:eastAsia="Google Sans" w:hAnsi="Google Sans"/>
          <w:color w:val="444746"/>
          <w:rtl w:val="0"/>
        </w:rPr>
        <w:t xml:space="preserve">malloc</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444746"/>
          <w:rtl w:val="0"/>
        </w:rPr>
        <w:t xml:space="preserve">free</w:t>
      </w:r>
      <w:r w:rsidDel="00000000" w:rsidR="00000000" w:rsidRPr="00000000">
        <w:rPr>
          <w:rFonts w:ascii="Google Sans" w:cs="Google Sans" w:eastAsia="Google Sans" w:hAnsi="Google Sans"/>
          <w:color w:val="1f1f1f"/>
          <w:rtl w:val="0"/>
        </w:rPr>
        <w:t xml:space="preserve"> calls.</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444746"/>
          <w:rtl w:val="0"/>
        </w:rPr>
        <w:t xml:space="preserve">PacketPool</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Pre-allocated, </w:t>
      </w:r>
      <w:r w:rsidDel="00000000" w:rsidR="00000000" w:rsidRPr="00000000">
        <w:rPr>
          <w:rFonts w:ascii="Google Sans" w:cs="Google Sans" w:eastAsia="Google Sans" w:hAnsi="Google Sans"/>
          <w:color w:val="1f1f1f"/>
        </w:rPr>
        <w:drawing>
          <wp:inline distB="19050" distT="19050" distL="19050" distR="19050">
            <wp:extent cx="844550" cy="34925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844550" cy="3492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arrays aligning to standard network MTU sizes, used for fast serialization of QUIC datagrams.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4.3 Lock-Free Multithreaded Execution Model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scheduler context-switch overhead, Blackwing maps dedicated tasks to pinned OS threads, executing over lock-free ring buffers (SPSC queue pattern):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Thread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CPU Affinity / Binding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OS Priority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Sync Mechanism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Lock-Free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444746"/>
                <w:shd w:fill="auto" w:val="clear"/>
              </w:rPr>
            </w:pPr>
            <w:r w:rsidDel="00000000" w:rsidR="00000000" w:rsidRPr="00000000">
              <w:rPr>
                <w:rFonts w:ascii="Google Sans" w:cs="Google Sans" w:eastAsia="Google Sans" w:hAnsi="Google Sans"/>
                <w:b w:val="1"/>
                <w:bCs w:val="1"/>
                <w:color w:val="444746"/>
                <w:shd w:fill="auto" w:val="clear"/>
                <w:rtl w:val="0"/>
              </w:rPr>
              <w:t xml:space="preserve">CaptureThread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Pinned to Core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V-Sync Interrupt Event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Fully Lock-Free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444746"/>
                <w:shd w:fill="auto" w:val="clear"/>
              </w:rPr>
            </w:pPr>
            <w:r w:rsidDel="00000000" w:rsidR="00000000" w:rsidRPr="00000000">
              <w:rPr>
                <w:rFonts w:ascii="Google Sans" w:cs="Google Sans" w:eastAsia="Google Sans" w:hAnsi="Google Sans"/>
                <w:b w:val="1"/>
                <w:bCs w:val="1"/>
                <w:color w:val="444746"/>
                <w:shd w:fill="auto" w:val="clear"/>
                <w:rtl w:val="0"/>
              </w:rPr>
              <w:t xml:space="preserve">EncoderThread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1 / Shared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Task Pool Semaphore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Lock-Free Queue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444746"/>
                <w:shd w:fill="auto" w:val="clear"/>
              </w:rPr>
            </w:pPr>
            <w:r w:rsidDel="00000000" w:rsidR="00000000" w:rsidRPr="00000000">
              <w:rPr>
                <w:rFonts w:ascii="Google Sans" w:cs="Google Sans" w:eastAsia="Google Sans" w:hAnsi="Google Sans"/>
                <w:b w:val="1"/>
                <w:bCs w:val="1"/>
                <w:color w:val="444746"/>
                <w:shd w:fill="auto" w:val="clear"/>
                <w:rtl w:val="0"/>
              </w:rPr>
              <w:t xml:space="preserve">QUICNetwork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Pinned to Core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epoll / IOCP Wait Loop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Lock-Free Ring Buffer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444746"/>
                <w:shd w:fill="auto" w:val="clear"/>
              </w:rPr>
            </w:pPr>
            <w:r w:rsidDel="00000000" w:rsidR="00000000" w:rsidRPr="00000000">
              <w:rPr>
                <w:rFonts w:ascii="Google Sans" w:cs="Google Sans" w:eastAsia="Google Sans" w:hAnsi="Google Sans"/>
                <w:b w:val="1"/>
                <w:bCs w:val="1"/>
                <w:color w:val="444746"/>
                <w:shd w:fill="auto" w:val="clear"/>
                <w:rtl w:val="0"/>
              </w:rPr>
              <w:t xml:space="preserve">AudioCapture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WASAPI Event Driven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Lock-Free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444746"/>
                <w:shd w:fill="auto" w:val="clear"/>
              </w:rPr>
            </w:pPr>
            <w:r w:rsidDel="00000000" w:rsidR="00000000" w:rsidRPr="00000000">
              <w:rPr>
                <w:rFonts w:ascii="Google Sans" w:cs="Google Sans" w:eastAsia="Google Sans" w:hAnsi="Google Sans"/>
                <w:b w:val="1"/>
                <w:bCs w:val="1"/>
                <w:color w:val="444746"/>
                <w:shd w:fill="auto" w:val="clear"/>
                <w:rtl w:val="0"/>
              </w:rPr>
              <w:t xml:space="preserve">PolicyEngine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Normal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Atomic Event Monitor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Read-Lock Protected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444746"/>
                <w:shd w:fill="auto" w:val="clear"/>
              </w:rPr>
            </w:pPr>
            <w:r w:rsidDel="00000000" w:rsidR="00000000" w:rsidRPr="00000000">
              <w:rPr>
                <w:rFonts w:ascii="Google Sans" w:cs="Google Sans" w:eastAsia="Google Sans" w:hAnsi="Google Sans"/>
                <w:b w:val="1"/>
                <w:bCs w:val="1"/>
                <w:color w:val="444746"/>
                <w:shd w:fill="auto" w:val="clear"/>
                <w:rtl w:val="0"/>
              </w:rPr>
              <w:t xml:space="preserve">TelemetryWorker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Asynchronous Ring Buffer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Non-Blocking Lock-Free</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4.4 Invariant Monotonic Clock Policy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time tracking must strictly use the operating system's invariant monotonic clock.</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Rust Mandate:</w:t>
      </w:r>
      <w:r w:rsidDel="00000000" w:rsidR="00000000" w:rsidRPr="00000000">
        <w:rPr>
          <w:rFonts w:ascii="Google Sans" w:cs="Google Sans" w:eastAsia="Google Sans" w:hAnsi="Google Sans"/>
          <w:color w:val="1f1f1f"/>
          <w:rtl w:val="0"/>
        </w:rPr>
        <w:t xml:space="preserve"> Never use </w:t>
      </w:r>
      <w:r w:rsidDel="00000000" w:rsidR="00000000" w:rsidRPr="00000000">
        <w:rPr>
          <w:rFonts w:ascii="Google Sans" w:cs="Google Sans" w:eastAsia="Google Sans" w:hAnsi="Google Sans"/>
          <w:color w:val="444746"/>
          <w:rtl w:val="0"/>
        </w:rPr>
        <w:t xml:space="preserve">std::time::SystemTime</w:t>
      </w:r>
      <w:r w:rsidDel="00000000" w:rsidR="00000000" w:rsidRPr="00000000">
        <w:rPr>
          <w:rFonts w:ascii="Google Sans" w:cs="Google Sans" w:eastAsia="Google Sans" w:hAnsi="Google Sans"/>
          <w:color w:val="1f1f1f"/>
          <w:rtl w:val="0"/>
        </w:rPr>
        <w:t xml:space="preserve"> for latency calculations, frame pacing, or sequencing. All code must use </w:t>
      </w:r>
      <w:r w:rsidDel="00000000" w:rsidR="00000000" w:rsidRPr="00000000">
        <w:rPr>
          <w:rFonts w:ascii="Google Sans" w:cs="Google Sans" w:eastAsia="Google Sans" w:hAnsi="Google Sans"/>
          <w:color w:val="444746"/>
          <w:rtl w:val="0"/>
        </w:rPr>
        <w:t xml:space="preserve">std::time::Instant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Rationale:</w:t>
      </w:r>
      <w:r w:rsidDel="00000000" w:rsidR="00000000" w:rsidRPr="00000000">
        <w:rPr>
          <w:rFonts w:ascii="Google Sans" w:cs="Google Sans" w:eastAsia="Google Sans" w:hAnsi="Google Sans"/>
          <w:color w:val="1f1f1f"/>
          <w:rtl w:val="0"/>
        </w:rPr>
        <w:t xml:space="preserve"> Prevents clock drift, manual timezone updates, and NTP adjustments from introducing division-by-zero errors or negative durations into our network congestion estimators.</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PART V: Hardware-Backed Security &amp; Hardening Mandates</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5.1 Platform-Level Key Storage (TPM &amp; Secure Enclave)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integrity must be verifiable.</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Windows Target:</w:t>
      </w:r>
      <w:r w:rsidDel="00000000" w:rsidR="00000000" w:rsidRPr="00000000">
        <w:rPr>
          <w:rFonts w:ascii="Google Sans" w:cs="Google Sans" w:eastAsia="Google Sans" w:hAnsi="Google Sans"/>
          <w:color w:val="1f1f1f"/>
          <w:rtl w:val="0"/>
        </w:rPr>
        <w:t xml:space="preserve"> Blackwing will detect if a TPM 2.0 is available. If present, the Agent's long-term identity Ed25519 signing key must be generated and sealed inside the TPM non-volatile storage. All handshake sign-challenges are routed directly through the TPM, preventing physical extraction of the private key.</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macOS / Linux Target:</w:t>
      </w:r>
      <w:r w:rsidDel="00000000" w:rsidR="00000000" w:rsidRPr="00000000">
        <w:rPr>
          <w:rFonts w:ascii="Google Sans" w:cs="Google Sans" w:eastAsia="Google Sans" w:hAnsi="Google Sans"/>
          <w:color w:val="1f1f1f"/>
          <w:rtl w:val="0"/>
        </w:rPr>
        <w:t xml:space="preserve"> Apple Secure Enclave (</w:t>
      </w:r>
      <w:r w:rsidDel="00000000" w:rsidR="00000000" w:rsidRPr="00000000">
        <w:rPr>
          <w:rFonts w:ascii="Google Sans" w:cs="Google Sans" w:eastAsia="Google Sans" w:hAnsi="Google Sans"/>
          <w:color w:val="444746"/>
          <w:rtl w:val="0"/>
        </w:rPr>
        <w:t xml:space="preserve">Security</w:t>
      </w:r>
      <w:r w:rsidDel="00000000" w:rsidR="00000000" w:rsidRPr="00000000">
        <w:rPr>
          <w:rFonts w:ascii="Google Sans" w:cs="Google Sans" w:eastAsia="Google Sans" w:hAnsi="Google Sans"/>
          <w:color w:val="1f1f1f"/>
          <w:rtl w:val="0"/>
        </w:rPr>
        <w:t xml:space="preserve"> framework) and TPM2-TSS libraries serve as corresponding hardware anchors.</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Attestation:</w:t>
      </w:r>
      <w:r w:rsidDel="00000000" w:rsidR="00000000" w:rsidRPr="00000000">
        <w:rPr>
          <w:rFonts w:ascii="Google Sans" w:cs="Google Sans" w:eastAsia="Google Sans" w:hAnsi="Google Sans"/>
          <w:color w:val="1f1f1f"/>
          <w:rtl w:val="0"/>
        </w:rPr>
        <w:t xml:space="preserve"> During the signaling phase, the Agent generates a hardware cryptographic attestation statement (e.g., TPM Platform Configuration Registers state signed by the TPM's endorsement key), verifying to the Identity Plane that the device runtime environment has not been tampered with or run inside an unauthorized virtual machine environment.</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5.2 Secure Memory Protections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protect cryptographic material and plaintext clipboard data from user-space memory scrapers:</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Memory Locking:</w:t>
      </w:r>
      <w:r w:rsidDel="00000000" w:rsidR="00000000" w:rsidRPr="00000000">
        <w:rPr>
          <w:rFonts w:ascii="Google Sans" w:cs="Google Sans" w:eastAsia="Google Sans" w:hAnsi="Google Sans"/>
          <w:color w:val="1f1f1f"/>
          <w:rtl w:val="0"/>
        </w:rPr>
        <w:t xml:space="preserve"> Ephemeral session keys, decrypted clipboard segments, and raw PAKE inputs must be locked in RAM using </w:t>
      </w:r>
      <w:r w:rsidDel="00000000" w:rsidR="00000000" w:rsidRPr="00000000">
        <w:rPr>
          <w:rFonts w:ascii="Google Sans" w:cs="Google Sans" w:eastAsia="Google Sans" w:hAnsi="Google Sans"/>
          <w:color w:val="444746"/>
          <w:rtl w:val="0"/>
        </w:rPr>
        <w:t xml:space="preserve">mlock()</w:t>
      </w:r>
      <w:r w:rsidDel="00000000" w:rsidR="00000000" w:rsidRPr="00000000">
        <w:rPr>
          <w:rFonts w:ascii="Google Sans" w:cs="Google Sans" w:eastAsia="Google Sans" w:hAnsi="Google Sans"/>
          <w:color w:val="1f1f1f"/>
          <w:rtl w:val="0"/>
        </w:rPr>
        <w:t xml:space="preserve"> (Unix) or </w:t>
      </w:r>
      <w:r w:rsidDel="00000000" w:rsidR="00000000" w:rsidRPr="00000000">
        <w:rPr>
          <w:rFonts w:ascii="Google Sans" w:cs="Google Sans" w:eastAsia="Google Sans" w:hAnsi="Google Sans"/>
          <w:color w:val="444746"/>
          <w:rtl w:val="0"/>
        </w:rPr>
        <w:t xml:space="preserve">VirtualLock()</w:t>
      </w:r>
      <w:r w:rsidDel="00000000" w:rsidR="00000000" w:rsidRPr="00000000">
        <w:rPr>
          <w:rFonts w:ascii="Google Sans" w:cs="Google Sans" w:eastAsia="Google Sans" w:hAnsi="Google Sans"/>
          <w:color w:val="1f1f1f"/>
          <w:rtl w:val="0"/>
        </w:rPr>
        <w:t xml:space="preserve"> (Windows) to prevent the OS from swapping secret-bearing memory pages to an unencrypted swapfile on physical storage.</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Cryptographic Zeroization:</w:t>
      </w:r>
      <w:r w:rsidDel="00000000" w:rsidR="00000000" w:rsidRPr="00000000">
        <w:rPr>
          <w:rFonts w:ascii="Google Sans" w:cs="Google Sans" w:eastAsia="Google Sans" w:hAnsi="Google Sans"/>
          <w:color w:val="1f1f1f"/>
          <w:rtl w:val="0"/>
        </w:rPr>
        <w:t xml:space="preserve"> All buffers containing key material, plaintext coordinates, or clipboard payloads must implement the </w:t>
      </w:r>
      <w:r w:rsidDel="00000000" w:rsidR="00000000" w:rsidRPr="00000000">
        <w:rPr>
          <w:rFonts w:ascii="Google Sans" w:cs="Google Sans" w:eastAsia="Google Sans" w:hAnsi="Google Sans"/>
          <w:color w:val="444746"/>
          <w:rtl w:val="0"/>
        </w:rPr>
        <w:t xml:space="preserve">Zeroize</w:t>
      </w:r>
      <w:r w:rsidDel="00000000" w:rsidR="00000000" w:rsidRPr="00000000">
        <w:rPr>
          <w:rFonts w:ascii="Google Sans" w:cs="Google Sans" w:eastAsia="Google Sans" w:hAnsi="Google Sans"/>
          <w:color w:val="1f1f1f"/>
          <w:rtl w:val="0"/>
        </w:rPr>
        <w:t xml:space="preserve"> trait in Rust. Upon going out of scope, the destructor must explicitly overwrite the memory address blocks with zeros (</w:t>
      </w:r>
      <w:r w:rsidDel="00000000" w:rsidR="00000000" w:rsidRPr="00000000">
        <w:rPr>
          <w:rFonts w:ascii="Google Sans" w:cs="Google Sans" w:eastAsia="Google Sans" w:hAnsi="Google Sans"/>
          <w:color w:val="444746"/>
          <w:rtl w:val="0"/>
        </w:rPr>
        <w:t xml:space="preserve">zeroize::zeroize()</w:t>
      </w:r>
      <w:r w:rsidDel="00000000" w:rsidR="00000000" w:rsidRPr="00000000">
        <w:rPr>
          <w:rFonts w:ascii="Google Sans" w:cs="Google Sans" w:eastAsia="Google Sans" w:hAnsi="Google Sans"/>
          <w:color w:val="1f1f1f"/>
          <w:rtl w:val="0"/>
        </w:rPr>
        <w:t xml:space="preserve">), preventing post-free RAM profiling exploits.</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5.3 Anti-Debugging &amp; Exploitation Countermeasures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builds must actively defend themselves from local system tampering:</w:t>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Anti-Debugging:</w:t>
      </w:r>
      <w:r w:rsidDel="00000000" w:rsidR="00000000" w:rsidRPr="00000000">
        <w:rPr>
          <w:rFonts w:ascii="Google Sans" w:cs="Google Sans" w:eastAsia="Google Sans" w:hAnsi="Google Sans"/>
          <w:color w:val="1f1f1f"/>
          <w:rtl w:val="0"/>
        </w:rPr>
        <w:t xml:space="preserve"> The Agent executable will dynamically query OS debugging states (e.g., </w:t>
      </w:r>
      <w:r w:rsidDel="00000000" w:rsidR="00000000" w:rsidRPr="00000000">
        <w:rPr>
          <w:rFonts w:ascii="Google Sans" w:cs="Google Sans" w:eastAsia="Google Sans" w:hAnsi="Google Sans"/>
          <w:color w:val="444746"/>
          <w:rtl w:val="0"/>
        </w:rPr>
        <w:t xml:space="preserve">IsDebuggerPresent</w:t>
      </w:r>
      <w:r w:rsidDel="00000000" w:rsidR="00000000" w:rsidRPr="00000000">
        <w:rPr>
          <w:rFonts w:ascii="Google Sans" w:cs="Google Sans" w:eastAsia="Google Sans" w:hAnsi="Google Sans"/>
          <w:color w:val="1f1f1f"/>
          <w:rtl w:val="0"/>
        </w:rPr>
        <w:t xml:space="preserve"> on Windows; inspecting </w:t>
      </w:r>
      <w:r w:rsidDel="00000000" w:rsidR="00000000" w:rsidRPr="00000000">
        <w:rPr>
          <w:rFonts w:ascii="Google Sans" w:cs="Google Sans" w:eastAsia="Google Sans" w:hAnsi="Google Sans"/>
          <w:color w:val="444746"/>
          <w:rtl w:val="0"/>
        </w:rPr>
        <w:t xml:space="preserve">/proc/self/status</w:t>
      </w:r>
      <w:r w:rsidDel="00000000" w:rsidR="00000000" w:rsidRPr="00000000">
        <w:rPr>
          <w:rFonts w:ascii="Google Sans" w:cs="Google Sans" w:eastAsia="Google Sans" w:hAnsi="Google Sans"/>
          <w:color w:val="1f1f1f"/>
          <w:rtl w:val="0"/>
        </w:rPr>
        <w:t xml:space="preserve"> on Linux) and immediately terminate active sessions if an unauthorized debugger is attached.</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DLL Injection Mitigation (Windows):</w:t>
      </w:r>
      <w:r w:rsidDel="00000000" w:rsidR="00000000" w:rsidRPr="00000000">
        <w:rPr>
          <w:rFonts w:ascii="Google Sans" w:cs="Google Sans" w:eastAsia="Google Sans" w:hAnsi="Google Sans"/>
          <w:color w:val="1f1f1f"/>
          <w:rtl w:val="0"/>
        </w:rPr>
        <w:t xml:space="preserve"> Enforce strict Code Integrity policies via Windows API hooks to reject loading unsigned DLLs or libraries outside the verified </w:t>
      </w:r>
      <w:r w:rsidDel="00000000" w:rsidR="00000000" w:rsidRPr="00000000">
        <w:rPr>
          <w:rFonts w:ascii="Google Sans" w:cs="Google Sans" w:eastAsia="Google Sans" w:hAnsi="Google Sans"/>
          <w:color w:val="444746"/>
          <w:rtl w:val="0"/>
        </w:rPr>
        <w:t xml:space="preserve">%SYSTEM32%</w:t>
      </w:r>
      <w:r w:rsidDel="00000000" w:rsidR="00000000" w:rsidRPr="00000000">
        <w:rPr>
          <w:rFonts w:ascii="Google Sans" w:cs="Google Sans" w:eastAsia="Google Sans" w:hAnsi="Google Sans"/>
          <w:color w:val="1f1f1f"/>
          <w:rtl w:val="0"/>
        </w:rPr>
        <w:t xml:space="preserve"> directory.</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PART VI: Phase 3 Development Blueprint</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6.1 Unified Rust Workspace Crate Boundaries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preserve modularity, the </w:t>
      </w:r>
      <w:r w:rsidDel="00000000" w:rsidR="00000000" w:rsidRPr="00000000">
        <w:rPr>
          <w:rFonts w:ascii="Google Sans" w:cs="Google Sans" w:eastAsia="Google Sans" w:hAnsi="Google Sans"/>
          <w:color w:val="444746"/>
          <w:rtl w:val="0"/>
        </w:rPr>
        <w:t xml:space="preserve">blackwing</w:t>
      </w:r>
      <w:r w:rsidDel="00000000" w:rsidR="00000000" w:rsidRPr="00000000">
        <w:rPr>
          <w:rFonts w:ascii="Google Sans" w:cs="Google Sans" w:eastAsia="Google Sans" w:hAnsi="Google Sans"/>
          <w:color w:val="1f1f1f"/>
          <w:rtl w:val="0"/>
        </w:rPr>
        <w:t xml:space="preserve"> source tree is partitioned into highly focused crates with minimal dependencies: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blackwing/ (Rust Workspace)</w:t>
        <w:br w:type="textWrapping"/>
        <w:t xml:space="preserve">├── Cargo.toml</w:t>
        <w:br w:type="textWrapping"/>
        <w:t xml:space="preserve">├── crates/</w:t>
        <w:br w:type="textWrapping"/>
        <w:t xml:space="preserve">│   ├── bw-core/          # Shared common primitives, monotonic clocks, and errors</w:t>
        <w:br w:type="textWrapping"/>
        <w:t xml:space="preserve">│   ├── bw-crypto/        # Ed25519, X25519 wrappers, and TPM abstraction traits</w:t>
        <w:br w:type="textWrapping"/>
        <w:t xml:space="preserve">│   ├── bw-protocol/      # Binary headers, packet serialization, CBOR negotiation</w:t>
        <w:br w:type="textWrapping"/>
        <w:t xml:space="preserve">│   ├── bw-transport/     # Quinn wrapper, STUN traversal logic, BBR metrics interface</w:t>
        <w:br w:type="textWrapping"/>
        <w:t xml:space="preserve">│   ├── bw-capture/       # DXGI, PipeWire, WASAPI loopback integrations</w:t>
        <w:br w:type="textWrapping"/>
        <w:t xml:space="preserve">│   ├── bw-encoder/       # MFT and hardware encoder abstractions</w:t>
        <w:br w:type="textWrapping"/>
        <w:t xml:space="preserve">│   ├── bw-agent/         # Agent service daemon main loop and IPC host</w:t>
        <w:br w:type="textWrapping"/>
        <w:t xml:space="preserve">│   └── bw-console/       # Console rendering window and input capture</w:t>
        <w:br w:type="textWrapping"/>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6.2 Target DevOps Toolchain</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Pinned Compilers:</w:t>
      </w:r>
      <w:r w:rsidDel="00000000" w:rsidR="00000000" w:rsidRPr="00000000">
        <w:rPr>
          <w:rFonts w:ascii="Google Sans" w:cs="Google Sans" w:eastAsia="Google Sans" w:hAnsi="Google Sans"/>
          <w:color w:val="1f1f1f"/>
          <w:rtl w:val="0"/>
        </w:rPr>
        <w:t xml:space="preserve"> The codebase is locked to </w:t>
      </w:r>
      <w:r w:rsidDel="00000000" w:rsidR="00000000" w:rsidRPr="00000000">
        <w:rPr>
          <w:rFonts w:ascii="Google Sans" w:cs="Google Sans" w:eastAsia="Google Sans" w:hAnsi="Google Sans"/>
          <w:color w:val="444746"/>
          <w:rtl w:val="0"/>
        </w:rPr>
        <w:t xml:space="preserve">channel = "1.80.0"</w:t>
      </w:r>
      <w:r w:rsidDel="00000000" w:rsidR="00000000" w:rsidRPr="00000000">
        <w:rPr>
          <w:rFonts w:ascii="Google Sans" w:cs="Google Sans" w:eastAsia="Google Sans" w:hAnsi="Google Sans"/>
          <w:color w:val="1f1f1f"/>
          <w:rtl w:val="0"/>
        </w:rPr>
        <w:t xml:space="preserve"> or later in </w:t>
      </w:r>
      <w:r w:rsidDel="00000000" w:rsidR="00000000" w:rsidRPr="00000000">
        <w:rPr>
          <w:rFonts w:ascii="Google Sans" w:cs="Google Sans" w:eastAsia="Google Sans" w:hAnsi="Google Sans"/>
          <w:color w:val="444746"/>
          <w:rtl w:val="0"/>
        </w:rPr>
        <w:t xml:space="preserve">rust-toolchain.toml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CI/CD Hardening:</w:t>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Build environments run inside hardened, minimalist Docker container environments.</w:t>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Every compile pipeline automatically generates a cryptographically signed SBOM in CycloneDX JSON format, audited against dependency vulnerability databases using </w:t>
      </w:r>
      <w:r w:rsidDel="00000000" w:rsidR="00000000" w:rsidRPr="00000000">
        <w:rPr>
          <w:rFonts w:ascii="Google Sans" w:cs="Google Sans" w:eastAsia="Google Sans" w:hAnsi="Google Sans"/>
          <w:color w:val="444746"/>
          <w:rtl w:val="0"/>
        </w:rPr>
        <w:t xml:space="preserve">cargo-audit</w:t>
      </w:r>
      <w:r w:rsidDel="00000000" w:rsidR="00000000" w:rsidRPr="00000000">
        <w:rPr>
          <w:rFonts w:ascii="Google Sans" w:cs="Google Sans" w:eastAsia="Google Sans" w:hAnsi="Google Sans"/>
          <w:color w:val="1f1f1f"/>
          <w:rtl w:val="0"/>
        </w:rPr>
        <w:t xml:space="preserve"> on every commit.</w:t>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Target compliance: </w:t>
      </w:r>
      <w:r w:rsidDel="00000000" w:rsidR="00000000" w:rsidRPr="00000000">
        <w:rPr>
          <w:rFonts w:ascii="Google Sans" w:cs="Google Sans" w:eastAsia="Google Sans" w:hAnsi="Google Sans"/>
          <w:b w:val="1"/>
          <w:bCs w:val="1"/>
          <w:color w:val="1f1f1f"/>
          <w:rtl w:val="0"/>
        </w:rPr>
        <w:t xml:space="preserve">SLSA Level 3</w:t>
      </w:r>
      <w:r w:rsidDel="00000000" w:rsidR="00000000" w:rsidRPr="00000000">
        <w:rPr>
          <w:rFonts w:ascii="Google Sans" w:cs="Google Sans" w:eastAsia="Google Sans" w:hAnsi="Google Sans"/>
          <w:color w:val="1f1f1f"/>
          <w:rtl w:val="0"/>
        </w:rPr>
        <w:t xml:space="preserve"> build pipeline isolation.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