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Finalization: Operational Playbook, Media &amp; Security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seals the remaining architectural gaps of Phase 2, introducing the operational recovery playbook, telemetry classification, and technical specifications for the audio, file transfer, and update pipelines.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Operational Frameworks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Operational Recovery Playbook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continuous operation without manual host-side intervention, the platform maps failures to deterministic recovery vectors:</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Detection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Immediate Recovery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State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Wi-Fi ◄─► Ethernet Handover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 network interface state change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Initiate QUIC Connection Migration natively over UDP.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cryptographic session keys in volatile 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Temporary WAN Packet Loss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Congestion control engine detects RTT spikes and drop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Bitrate and QP adaptation; throttle frame 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Preserve session context; negotiate lower-resolution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Relay Server Outage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Heartbeat failure or connection timeout on active relay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Seamlessly migrate active session path to an alternate, geo-resolved Relay node.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 ephemeral authorization token integrity at the new Relay.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Encoder Crash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 driver execution timeout or hardware API error callback.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Reinitalize the EncoderBackend runtime context; fall back to software encoding (e.g., OpenH264).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Flush active VRAM texture pools; reallocate textures safely.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Session Runner Crash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Parent Blackwing Service detects unannounced child process exit.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Respawn the Session Runner under the active user's privileges.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Re-authenticate session through the control plane; generate fresh ephemeral 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Blackwing Service Crash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Control Manager (SCM) or systemd monitors process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SCM auto-restart mechanism triggers service reload.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 local host system integrity; run boot check against root certificate.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Engine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bounds exception or parsing failure in the Trie cache.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 back immediately to the hardcoded secure default state (Deny-All).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 all file transfer, clipboard synchronization, and terminal 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Plane Offline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Keep-alive check timeouts on control channel; API returns 5xx/timeouts.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sessions continue uninterrupted. New session initiations are suspended.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Rely on the signed, offline-first local policy database to govern existing paths.</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Telemetry &amp; Privacy Classification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compliance with modern privacy frameworks (e.g., GDPR, CCPA) while preserving diagnostic capabilities, all telemetry is strictly categorized and isolated: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Telemetry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Permitted Fields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Transmission &amp; 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Compliance Boundary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A: Public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FPS, RTT, packet loss, system-wide CPU/GPU usage percentages.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transmission to Prometheus/OpenTelemetry collectors; retained for 30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anonymous; contains zero user-specific or environment-identifying markers.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B: Internal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 version, graphic driver version, hardware encoder type, display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Transmitted upon session termination; retained for 90 days in secure analytics database.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Machine-specific but decoupled from tenant or user identities.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C: Sensitive Context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Hostname, active username, local IP addresses, connected device identifiers.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Never exported to public cloud; stored exclusively on self-hosted customer premises (Hybrid 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Locked behind Tenant Administrator access; subject to strict local audit policies.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D: Secret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Ephemeral cryptographic session keys, PAKE nonces, clipboard contents, video frames.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Strictly prohibited from leaving memory.</w:t>
            </w:r>
            <w:r w:rsidDel="00000000" w:rsidR="00000000" w:rsidRPr="00000000">
              <w:rPr>
                <w:rFonts w:ascii="Google Sans" w:cs="Google Sans" w:eastAsia="Google Sans" w:hAnsi="Google Sans"/>
                <w:color w:val="1f1f1f"/>
                <w:shd w:fill="auto" w:val="clear"/>
                <w:rtl w:val="0"/>
              </w:rPr>
              <w:t xml:space="preserve"> Zero disk writes, zero network transmission outside E2EE tunnel.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Violations of Class D boundaries trigger immediate process termination.</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System Specifications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WP-2.12: Audio Capture &amp; Synchronization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immersive remote control, Blackwing must capture, compress, transmit, and play back host system audio with lip-sync synchronization matching our </w:t>
      </w:r>
      <w:r w:rsidDel="00000000" w:rsidR="00000000" w:rsidRPr="00000000">
        <w:rPr>
          <w:rFonts w:ascii="Google Sans" w:cs="Google Sans" w:eastAsia="Google Sans" w:hAnsi="Google Sans"/>
          <w:color w:val="1f1f1f"/>
        </w:rPr>
        <w:drawing>
          <wp:inline distB="19050" distT="19050" distL="19050" distR="19050">
            <wp:extent cx="702072" cy="234024"/>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02072" cy="23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performance budget.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OS Audio Engine] ──► [WASAPI/ALSA/CoreAudio API] ──► [Sample Rate Converter (Libsamplerate)]</w:t>
        <w:br w:type="textWrapping"/>
        <w:t xml:space="preserve">                                                                           │</w:t>
        <w:br w:type="textWrapping"/>
        <w:t xml:space="preserve">                                                                           ▼</w:t>
        <w:br w:type="textWrapping"/>
        <w:t xml:space="preserve">[Console Output Device] ◄── [Opus Decoder] ◄── [Jitter Buffer] ◄── [Opus Encoder (Low Latency)]</w:t>
        <w:br w:type="textWrapping"/>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OS-Native Audio Capture:</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Windows:</w:t>
      </w:r>
      <w:r w:rsidDel="00000000" w:rsidR="00000000" w:rsidRPr="00000000">
        <w:rPr>
          <w:rFonts w:ascii="Google Sans" w:cs="Google Sans" w:eastAsia="Google Sans" w:hAnsi="Google Sans"/>
          <w:color w:val="1f1f1f"/>
          <w:rtl w:val="0"/>
        </w:rPr>
        <w:t xml:space="preserve"> Loopback capture using the Windows Audio Session API (WASAPI) in exclusive, event-driven mode.</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Linux:</w:t>
      </w:r>
      <w:r w:rsidDel="00000000" w:rsidR="00000000" w:rsidRPr="00000000">
        <w:rPr>
          <w:rFonts w:ascii="Google Sans" w:cs="Google Sans" w:eastAsia="Google Sans" w:hAnsi="Google Sans"/>
          <w:color w:val="1f1f1f"/>
          <w:rtl w:val="0"/>
        </w:rPr>
        <w:t xml:space="preserve"> Alsa loopback or PipeWire virtual source monitoring.</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macOS:</w:t>
      </w:r>
      <w:r w:rsidDel="00000000" w:rsidR="00000000" w:rsidRPr="00000000">
        <w:rPr>
          <w:rFonts w:ascii="Google Sans" w:cs="Google Sans" w:eastAsia="Google Sans" w:hAnsi="Google Sans"/>
          <w:color w:val="1f1f1f"/>
          <w:rtl w:val="0"/>
        </w:rPr>
        <w:t xml:space="preserve"> CoreAudio HAL loopback device driver mapping.</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Resampling &amp; Compression:</w:t>
      </w:r>
      <w:r w:rsidDel="00000000" w:rsidR="00000000" w:rsidRPr="00000000">
        <w:rPr>
          <w:rFonts w:ascii="Google Sans" w:cs="Google Sans" w:eastAsia="Google Sans" w:hAnsi="Google Sans"/>
          <w:color w:val="1f1f1f"/>
          <w:rtl w:val="0"/>
        </w:rPr>
        <w:t xml:space="preserve"> Host audio is typically captured at </w:t>
      </w:r>
      <w:r w:rsidDel="00000000" w:rsidR="00000000" w:rsidRPr="00000000">
        <w:rPr>
          <w:rFonts w:ascii="Google Sans" w:cs="Google Sans" w:eastAsia="Google Sans" w:hAnsi="Google Sans"/>
          <w:color w:val="1f1f1f"/>
        </w:rPr>
        <w:drawing>
          <wp:inline distB="19050" distT="19050" distL="19050" distR="19050">
            <wp:extent cx="590550" cy="2349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49300" cy="23495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49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stereo. The capture pipeline converts audio streams into a uniform format (</w:t>
      </w:r>
      <w:r w:rsidDel="00000000" w:rsidR="00000000" w:rsidRPr="00000000">
        <w:rPr>
          <w:rFonts w:ascii="Google Sans" w:cs="Google Sans" w:eastAsia="Google Sans" w:hAnsi="Google Sans"/>
          <w:color w:val="1f1f1f"/>
        </w:rPr>
        <w:drawing>
          <wp:inline distB="19050" distT="19050" distL="19050" distR="19050">
            <wp:extent cx="590550" cy="2349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16-bit PCM) using high-quality cubic interpolation (libsamplerate). It then feeds the stream into the </w:t>
      </w:r>
      <w:r w:rsidDel="00000000" w:rsidR="00000000" w:rsidRPr="00000000">
        <w:rPr>
          <w:rFonts w:ascii="Google Sans" w:cs="Google Sans" w:eastAsia="Google Sans" w:hAnsi="Google Sans"/>
          <w:b w:val="1"/>
          <w:bCs w:val="1"/>
          <w:color w:val="1f1f1f"/>
          <w:rtl w:val="0"/>
        </w:rPr>
        <w:t xml:space="preserve">Opus</w:t>
      </w:r>
      <w:r w:rsidDel="00000000" w:rsidR="00000000" w:rsidRPr="00000000">
        <w:rPr>
          <w:rFonts w:ascii="Google Sans" w:cs="Google Sans" w:eastAsia="Google Sans" w:hAnsi="Google Sans"/>
          <w:color w:val="1f1f1f"/>
          <w:rtl w:val="0"/>
        </w:rPr>
        <w:t xml:space="preserve"> audio codec, configured for </w:t>
      </w:r>
      <w:r w:rsidDel="00000000" w:rsidR="00000000" w:rsidRPr="00000000">
        <w:rPr>
          <w:rFonts w:ascii="Google Sans" w:cs="Google Sans" w:eastAsia="Google Sans" w:hAnsi="Google Sans"/>
          <w:b w:val="1"/>
          <w:bCs w:val="1"/>
          <w:color w:val="1f1f1f"/>
          <w:rtl w:val="0"/>
        </w:rPr>
        <w:t xml:space="preserve">VoIP/Low-Delay mode</w:t>
      </w:r>
      <w:r w:rsidDel="00000000" w:rsidR="00000000" w:rsidRPr="00000000">
        <w:rPr>
          <w:rFonts w:ascii="Google Sans" w:cs="Google Sans" w:eastAsia="Google Sans" w:hAnsi="Google Sans"/>
          <w:color w:val="1f1f1f"/>
          <w:rtl w:val="0"/>
        </w:rPr>
        <w:t xml:space="preserve"> with a frame duration of </w:t>
      </w:r>
      <w:r w:rsidDel="00000000" w:rsidR="00000000" w:rsidRPr="00000000">
        <w:rPr>
          <w:rFonts w:ascii="Google Sans" w:cs="Google Sans" w:eastAsia="Google Sans" w:hAnsi="Google Sans"/>
          <w:color w:val="1f1f1f"/>
        </w:rPr>
        <w:drawing>
          <wp:inline distB="19050" distT="19050" distL="19050" distR="19050">
            <wp:extent cx="495300" cy="23495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5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target bitrate of </w:t>
      </w:r>
      <w:r w:rsidDel="00000000" w:rsidR="00000000" w:rsidRPr="00000000">
        <w:rPr>
          <w:rFonts w:ascii="Google Sans" w:cs="Google Sans" w:eastAsia="Google Sans" w:hAnsi="Google Sans"/>
          <w:color w:val="1f1f1f"/>
        </w:rPr>
        <w:drawing>
          <wp:inline distB="19050" distT="19050" distL="19050" distR="19050">
            <wp:extent cx="647700" cy="2349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7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stereo.</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Audio-Video Synchronization (A/V Sync):</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Both the CapturedFrame and compressed Opus audio packets are stamped with a monotonic clock timestamp at their respective capture boundaries.</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Because network jitter affects video and audio delivery unevenly, the Console client passes decoded audio and video frames into an </w:t>
      </w:r>
      <w:r w:rsidDel="00000000" w:rsidR="00000000" w:rsidRPr="00000000">
        <w:rPr>
          <w:rFonts w:ascii="Google Sans" w:cs="Google Sans" w:eastAsia="Google Sans" w:hAnsi="Google Sans"/>
          <w:b w:val="1"/>
          <w:bCs w:val="1"/>
          <w:color w:val="1f1f1f"/>
          <w:rtl w:val="0"/>
        </w:rPr>
        <w:t xml:space="preserve">Adaptive Playout Jitter Buffer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playout buffer measures the standard deviation of arrival times. Video frames are held or dropped to align precisely with the audio timeline, prioritizing audio continuity over video frames where degradation occurs.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WP-2.13: File Transfer Protocol (FTP)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transfers must run concurrently with screen interactive tasks without causing input latency lag or visual frame drops.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Multi-Stream Chunking over QUIC:</w:t>
      </w:r>
      <w:r w:rsidDel="00000000" w:rsidR="00000000" w:rsidRPr="00000000">
        <w:rPr>
          <w:rFonts w:ascii="Google Sans" w:cs="Google Sans" w:eastAsia="Google Sans" w:hAnsi="Google Sans"/>
          <w:color w:val="1f1f1f"/>
          <w:rtl w:val="0"/>
        </w:rPr>
        <w:t xml:space="preserve"> Instead of routing files through the main interactive media pipe, each file transfer initiates an independent, bidirectional QUIC stream.</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Flow Control and Pacing:</w:t>
      </w:r>
      <w:r w:rsidDel="00000000" w:rsidR="00000000" w:rsidRPr="00000000">
        <w:rPr>
          <w:rFonts w:ascii="Google Sans" w:cs="Google Sans" w:eastAsia="Google Sans" w:hAnsi="Google Sans"/>
          <w:color w:val="1f1f1f"/>
          <w:rtl w:val="0"/>
        </w:rPr>
        <w:t xml:space="preserve"> Interactive traffic (input, video, audio) is classified under the Interactive scheduler class, while file transfers map to the Bulk class. The transport scheduler restricts the Bulk stream's congestion window (</w:t>
      </w:r>
      <w:r w:rsidDel="00000000" w:rsidR="00000000" w:rsidRPr="00000000">
        <w:rPr>
          <w:rFonts w:ascii="Google Sans" w:cs="Google Sans" w:eastAsia="Google Sans" w:hAnsi="Google Sans"/>
          <w:color w:val="1f1f1f"/>
        </w:rPr>
        <w:drawing>
          <wp:inline distB="19050" distT="19050" distL="19050" distR="19050">
            <wp:extent cx="715566" cy="24917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15566" cy="249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allocation to a maximum of </w:t>
      </w:r>
      <w:r w:rsidDel="00000000" w:rsidR="00000000" w:rsidRPr="00000000">
        <w:rPr>
          <w:rFonts w:ascii="Google Sans" w:cs="Google Sans" w:eastAsia="Google Sans" w:hAnsi="Google Sans"/>
          <w:color w:val="1f1f1f"/>
        </w:rPr>
        <w:drawing>
          <wp:inline distB="19050" distT="19050" distL="19050" distR="19050">
            <wp:extent cx="368300" cy="23495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8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measured link capacity when interactive streams are active.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Integrity and Drag-and-Drop Handling:</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Files are segmented into </w:t>
      </w:r>
      <w:r w:rsidDel="00000000" w:rsidR="00000000" w:rsidRPr="00000000">
        <w:rPr>
          <w:rFonts w:ascii="Google Sans" w:cs="Google Sans" w:eastAsia="Google Sans" w:hAnsi="Google Sans"/>
          <w:color w:val="1f1f1f"/>
        </w:rPr>
        <w:drawing>
          <wp:inline distB="19050" distT="19050" distL="19050" distR="19050">
            <wp:extent cx="469900" cy="238168"/>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69900" cy="238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chunks. Each chunk is hashed locally using </w:t>
      </w:r>
      <w:r w:rsidDel="00000000" w:rsidR="00000000" w:rsidRPr="00000000">
        <w:rPr>
          <w:rFonts w:ascii="Google Sans" w:cs="Google Sans" w:eastAsia="Google Sans" w:hAnsi="Google Sans"/>
          <w:b w:val="1"/>
          <w:bCs w:val="1"/>
          <w:color w:val="1f1f1f"/>
          <w:rtl w:val="0"/>
        </w:rPr>
        <w:t xml:space="preserve">BLAKE3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0240" cy="251571"/>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0240" cy="251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high-throughput cryptographic hashing), allowing parallel validation of block integrity at the receiver endpoint.</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Drag-and-drop operations serialize directory structures into a lightweight JSON metadata manifest sent via a control stream, prompting the recipient for path confirmation before bulk stream allocation begins.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WP-2.14: Update Infrastructure &amp; Supply Chain Security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remote-access client running with elevated local privileges is a primary target for supply-chain threat actors.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Deterministic, Reproducible Builds:</w:t>
      </w:r>
      <w:r w:rsidDel="00000000" w:rsidR="00000000" w:rsidRPr="00000000">
        <w:rPr>
          <w:rFonts w:ascii="Google Sans" w:cs="Google Sans" w:eastAsia="Google Sans" w:hAnsi="Google Sans"/>
          <w:color w:val="1f1f1f"/>
          <w:rtl w:val="0"/>
        </w:rPr>
        <w:t xml:space="preserve"> The Blackwing compiler toolchain is pinned via rust-toolchain.toml and built inside containerized, reproducible environments. Every byte of the compiled binary must be reproducible across independent execution environments to prevent silent compiler injection attacks.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Software Bill of Materials (SBOM):</w:t>
      </w:r>
      <w:r w:rsidDel="00000000" w:rsidR="00000000" w:rsidRPr="00000000">
        <w:rPr>
          <w:rFonts w:ascii="Google Sans" w:cs="Google Sans" w:eastAsia="Google Sans" w:hAnsi="Google Sans"/>
          <w:color w:val="1f1f1f"/>
          <w:rtl w:val="0"/>
        </w:rPr>
        <w:t xml:space="preserve"> Every release automatically generates a cryptographically signed SBOM in SPDX/CycloneDX formats using cargo-bom, cataloging every active dependency down to its specific git commit hash.</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Cryptographic Binary Signing:</w:t>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Binaries are dual-signed.</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Windows binaries are signed via standard Authenticode with an Extended Validation (EV) certificate.</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updater validates an embedded, application-level signature using an public </w:t>
      </w:r>
      <w:r w:rsidDel="00000000" w:rsidR="00000000" w:rsidRPr="00000000">
        <w:rPr>
          <w:rFonts w:ascii="Google Sans" w:cs="Google Sans" w:eastAsia="Google Sans" w:hAnsi="Google Sans"/>
          <w:b w:val="1"/>
          <w:bCs w:val="1"/>
          <w:color w:val="1f1f1f"/>
          <w:rtl w:val="0"/>
        </w:rPr>
        <w:t xml:space="preserve">Ed25519</w:t>
      </w:r>
      <w:r w:rsidDel="00000000" w:rsidR="00000000" w:rsidRPr="00000000">
        <w:rPr>
          <w:rFonts w:ascii="Google Sans" w:cs="Google Sans" w:eastAsia="Google Sans" w:hAnsi="Google Sans"/>
          <w:color w:val="1f1f1f"/>
          <w:rtl w:val="0"/>
        </w:rPr>
        <w:t xml:space="preserve"> key hosted in write-protected memory space on the Agent machine. The payload signature must match to permit binary execution or elevation.</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Updated Architecture Decision Records (ADR Template v1.1)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ADR-012: Low-Latency Audio Capture &amp; Synchronization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ADR-012: Low-Latency Audio Capture &amp; Synchronization</w:t>
        <w:br w:type="textWrapping"/>
        <w:br w:type="textWrapping"/>
        <w:t xml:space="preserve">## Metadata</w:t>
        <w:br w:type="textWrapping"/>
        <w:t xml:space="preserve">- **Document ID:** BW-ADR-0012</w:t>
        <w:br w:type="textWrapping"/>
        <w:t xml:space="preserve">- **Version:** 1.0</w:t>
        <w:br w:type="textWrapping"/>
        <w:t xml:space="preserve">- **Status:** Proposed (Pending Validation)</w:t>
        <w:br w:type="textWrapping"/>
        <w:t xml:space="preserve">- **Owner:** Audio &amp; Streaming Lead</w:t>
        <w:br w:type="textWrapping"/>
        <w:t xml:space="preserve">- **Review Date:** 2026-07-03</w:t>
        <w:br w:type="textWrapping"/>
        <w:t xml:space="preserve">- **Supersedes:** None</w:t>
        <w:br w:type="textWrapping"/>
        <w:t xml:space="preserve">- **Superseded By:** None</w:t>
        <w:br w:type="textWrapping"/>
        <w:t xml:space="preserve">- **Related ADRs:** ADR-001 (Transport), ADR-005 (Input &amp; Synchronization)</w:t>
        <w:br w:type="textWrapping"/>
        <w:t xml:space="preserve">- **Validation Status:**</w:t>
        <w:br w:type="textWrapping"/>
        <w:t xml:space="preserve">    - [ ] Benchmarked</w:t>
        <w:br w:type="textWrapping"/>
        <w:t xml:space="preserve">    - [x] Prototype Validated</w:t>
        <w:br w:type="textWrapping"/>
        <w:t xml:space="preserve">    - [ ] Production Validated</w:t>
        <w:br w:type="textWrapping"/>
        <w:br w:type="textWrapping"/>
        <w:t xml:space="preserve">## Context</w:t>
        <w:br w:type="textWrapping"/>
        <w:t xml:space="preserve">Interactive remote computing requires high-fidelity audio synchronized with video frame delivery. The audio subsystem must capture host audio streams, compress them with negligible CPU impact, and transmit them under a strict latency budget without causing audio pop artifacts or lip-sync divergence.</w:t>
        <w:br w:type="textWrapping"/>
        <w:br w:type="textWrapping"/>
        <w:t xml:space="preserve">## Decision</w:t>
        <w:br w:type="textWrapping"/>
        <w:t xml:space="preserve">1. **OS-Native Loopback:** WASAPI loopback (Windows), PipeWire (Linux), and CoreAudio (macOS) serve as the native capture boundaries.</w:t>
        <w:br w:type="textWrapping"/>
        <w:t xml:space="preserve">2. **Standardization on Opus:** All captured host audio is converted to 48kHz PCM and encoded using the Opus codec configured for VoIP / low-delay mode with a 10ms packet size.</w:t>
        <w:br w:type="textWrapping"/>
        <w:t xml:space="preserve">3. **Monotonic Timestamp Synchronization:** Audio and video packets receive matching monotonic timestamps at point of acquisition, reconstructed at the client Console via an Adaptive Playout Jitter Buffer.</w:t>
        <w:br w:type="textWrapping"/>
        <w:t xml:space="preserve">4. **Independent QUIC Stream:** Audio occupies its own prioritized QUIC bidirectional stream, mapped above the Video stream in transmission priority.</w:t>
        <w:br w:type="textWrapping"/>
        <w:br w:type="textWrapping"/>
        <w:t xml:space="preserve">## Rationale</w:t>
        <w:br w:type="textWrapping"/>
        <w:t xml:space="preserve">Opus provides unmatched audio quality and compression flexibility at low bitrates with sub-millisecond codec latency. Separating audio onto a prioritized QUIC stream ensures audio continuity remains stable during brief video bandwidth collapses.</w:t>
        <w:br w:type="textWrapping"/>
        <w:br w:type="textWrapping"/>
        <w:t xml:space="preserve">## Consequences</w:t>
        <w:br w:type="textWrapping"/>
        <w:t xml:space="preserve">- **Positive:** Immersive, synchronized audio; sub-millisecond codec latency; excellent resilience to network jitter.</w:t>
        <w:br w:type="textWrapping"/>
        <w:t xml:space="preserve">- **Negative:** WASAPI exclusive loopback can occasionally block native client applications from executing concurrent audio-tuning commands.</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ADR-013: High-Throughput Safe File Transfer Protocol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ADR-013: High-Throughput Safe File Transfer Protocol</w:t>
        <w:br w:type="textWrapping"/>
        <w:br w:type="textWrapping"/>
        <w:t xml:space="preserve">## Metadata</w:t>
        <w:br w:type="textWrapping"/>
        <w:t xml:space="preserve">- **Document ID:** BW-ADR-0013</w:t>
        <w:br w:type="textWrapping"/>
        <w:t xml:space="preserve">- **Version:** 1.0</w:t>
        <w:br w:type="textWrapping"/>
        <w:t xml:space="preserve">- **Status:** Proposed (Pending Validation)</w:t>
        <w:br w:type="textWrapping"/>
        <w:t xml:space="preserve">- **Owner:** Protocol &amp; Transport Lead</w:t>
        <w:br w:type="textWrapping"/>
        <w:t xml:space="preserve">- **Review Date:** 2026-07-03</w:t>
        <w:br w:type="textWrapping"/>
        <w:t xml:space="preserve">- **Supersedes:** None</w:t>
        <w:br w:type="textWrapping"/>
        <w:t xml:space="preserve">- **Superseded By:** None</w:t>
        <w:br w:type="textWrapping"/>
        <w:t xml:space="preserve">- **Related ADRs:** ADR-001 (Transport), ADR-005 (Traffic Classification)</w:t>
        <w:br w:type="textWrapping"/>
        <w:t xml:space="preserve">- **Validation Status:**</w:t>
        <w:br w:type="textWrapping"/>
        <w:t xml:space="preserve">    - [ ] Benchmarked</w:t>
        <w:br w:type="textWrapping"/>
        <w:t xml:space="preserve">    - [x] Prototype Validated</w:t>
        <w:br w:type="textWrapping"/>
        <w:t xml:space="preserve">    - [ ] Production Validated</w:t>
        <w:br w:type="textWrapping"/>
        <w:br w:type="textWrapping"/>
        <w:t xml:space="preserve">## Context</w:t>
        <w:br w:type="textWrapping"/>
        <w:t xml:space="preserve">Transferring files across endpoints must occur without causing interactive input delay or frame delivery stutter. We require a secure, high-throughput protocol integrated with our QUIC transport layer.</w:t>
        <w:br w:type="textWrapping"/>
        <w:br w:type="textWrapping"/>
        <w:t xml:space="preserve">## Decision</w:t>
        <w:br w:type="textWrapping"/>
        <w:t xml:space="preserve">1. **Stream-Isolated Transfer:** Each active file transfer runs over an independent QUIC bidirectional stream.</w:t>
        <w:br w:type="textWrapping"/>
        <w:t xml:space="preserve">2. **BLAKE3 Integrity Hashing:** All file transfers utilize BLAKE3 block hashing ($1\text{ MB}$ chunks) to support parallel integrity verification and delta resumption.</w:t>
        <w:br w:type="textWrapping"/>
        <w:t xml:space="preserve">3. **Interactive Priority Isolation:** The transport scheduler restricts file transfer streams to a lower priority class, capped to a maximum of 25% link capacity when real-time media streams are active.</w:t>
        <w:br w:type="textWrapping"/>
        <w:br w:type="textWrapping"/>
        <w:t xml:space="preserve">## Rationale</w:t>
        <w:br w:type="textWrapping"/>
        <w:t xml:space="preserve">Using isolated streams prevents TCP-like head-of-line blocking between active bulk transfers and real-time input. Strict scheduler-level bandwidth caps protect the interactive remote-control experience.</w:t>
        <w:br w:type="textWrapping"/>
        <w:br w:type="textWrapping"/>
        <w:t xml:space="preserve">## Consequences</w:t>
        <w:br w:type="textWrapping"/>
        <w:t xml:space="preserve">- **Positive:** Fast, resumable file transfers; zero performance impact on interactive video or mouse pipelines.</w:t>
        <w:br w:type="textWrapping"/>
        <w:t xml:space="preserve">- **Negative:** Large file transfers over highly congested networks may experience slow performance due to aggressive prioritization of the interactive control loop.</w:t>
        <w:br w:type="textWrapping"/>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ADR-014: Supply Chain Security &amp; Secure Updates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ADR-014: Supply Chain Security &amp; Secure Updates</w:t>
        <w:br w:type="textWrapping"/>
        <w:br w:type="textWrapping"/>
        <w:t xml:space="preserve">## Metadata</w:t>
        <w:br w:type="textWrapping"/>
        <w:t xml:space="preserve">- **Document ID:** BW-ADR-0014</w:t>
        <w:br w:type="textWrapping"/>
        <w:t xml:space="preserve">- **Version:** 1.0</w:t>
        <w:br w:type="textWrapping"/>
        <w:t xml:space="preserve">- **Status:** Proposed (Pending Validation)</w:t>
        <w:br w:type="textWrapping"/>
        <w:t xml:space="preserve">- **Owner:** Security &amp; DevSecOps Lead</w:t>
        <w:br w:type="textWrapping"/>
        <w:t xml:space="preserve">- **Review Date:** 2026-07-03</w:t>
        <w:br w:type="textWrapping"/>
        <w:t xml:space="preserve">- **Supersedes:** None</w:t>
        <w:br w:type="textWrapping"/>
        <w:t xml:space="preserve">- **Superseded By:** None</w:t>
        <w:br w:type="textWrapping"/>
        <w:t xml:space="preserve">- **Related ADRs:** ADR-010 (Runtime Architecture)</w:t>
        <w:br w:type="textWrapping"/>
        <w:t xml:space="preserve">- **Validation Status:**</w:t>
        <w:br w:type="textWrapping"/>
        <w:t xml:space="preserve">    - [ ] Benchmarked</w:t>
        <w:br w:type="textWrapping"/>
        <w:t xml:space="preserve">    - [ ] Prototype Validated</w:t>
        <w:br w:type="textWrapping"/>
        <w:t xml:space="preserve">    - [ ] Production Validated</w:t>
        <w:br w:type="textWrapping"/>
        <w:br w:type="textWrapping"/>
        <w:t xml:space="preserve">## Context</w:t>
        <w:br w:type="textWrapping"/>
        <w:t xml:space="preserve">The privileged update engine of a remote access system represents a critical supply-chain attack vector. We must define cryptographic and procedural boundaries to prevent unauthorized binary modification, elevation, or installation.</w:t>
        <w:br w:type="textWrapping"/>
        <w:br w:type="textWrapping"/>
        <w:t xml:space="preserve">## Decision</w:t>
        <w:br w:type="textWrapping"/>
        <w:t xml:space="preserve">1. **Deterministic, Reproducible Builds:** All production releases are compiled using pinned toolchains in isolated Docker containerized environments to ensure absolute byte-by-byte reproducibility.</w:t>
        <w:br w:type="textWrapping"/>
        <w:t xml:space="preserve">2. **Cryptographic Validation Keys:** The update payload is verified on-host using an embedded, application-level Ed25519 public key that is hardcoded during build.</w:t>
        <w:br w:type="textWrapping"/>
        <w:t xml:space="preserve">3. **Automated Rollback:** If the updated binary fails its internal health verification test within 15 seconds of execution, the service rolls back immediately to the cached, previous stable version.</w:t>
        <w:br w:type="textWrapping"/>
        <w:br w:type="textWrapping"/>
        <w:t xml:space="preserve">## Rationale</w:t>
        <w:br w:type="textWrapping"/>
        <w:t xml:space="preserve">These controls guarantee that even if an attacker compromises the hosting repository, they cannot execute malicious binaries on endpoints without possessing the private offline Ed25519 code-signing key.</w:t>
        <w:br w:type="textWrapping"/>
        <w:br w:type="textWrapping"/>
        <w:t xml:space="preserve">## Consequences</w:t>
        <w:br w:type="textWrapping"/>
        <w:t xml:space="preserve">- **Positive:** Enterprise-grade protection against supply-chain compromise; high resilience during failed update pushes.</w:t>
        <w:br w:type="textWrapping"/>
        <w:t xml:space="preserve">- **Negative:** Increases release pipeline complexity and requires careful, offline key management policies.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