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Blackwing Phase 3 Bootstrap Manifest &amp; Crate API Contract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Document Version: 1.0.0 | Status: Approved (Entering Execution)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Editors: Principal Systems Engineering, Release, &amp; DevSecOps Groups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Related Documents: BW-RFC-001 through BW-RFC-025, Master PRD v1.0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Frozen Technology Stack &amp; ADR Log (ADR-015)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prevent design drift, dependencies are strictly pinned for the v1.0-MVP release cycle. Any modifications must pass a formal Architecture Review Board (ARB) vote.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+-----------------------------------------------------------------------------------+</w:t>
        <w:br w:type="textWrapping"/>
        <w:t xml:space="preserve">|                        PROJECT BLACKWING HARDWARE ROOT TOOLCHAIN                  |</w:t>
        <w:br w:type="textWrapping"/>
        <w:t xml:space="preserve">+-----------------------------------------------------------------------------------+</w:t>
        <w:br w:type="textWrapping"/>
        <w:t xml:space="preserve">|  Rust Compiler          : Stable channel, Version 1.80.0+                         |</w:t>
        <w:br w:type="textWrapping"/>
        <w:t xml:space="preserve">|  Async Runtime          : Tokio Ecosystem (v1.38) with multi-thread scheduler     |</w:t>
        <w:br w:type="textWrapping"/>
        <w:t xml:space="preserve">|  QUIC Engine            : Quinn Crate (v0.11) utilizing rustls (v0.23)            |</w:t>
        <w:br w:type="textWrapping"/>
        <w:t xml:space="preserve">|  Cryptographic Engine   : Ring &amp; Rustls (TLS 1.3 / ChaCha20-Poly1305 / AES-GCM)   |</w:t>
        <w:br w:type="textWrapping"/>
        <w:t xml:space="preserve">|  Binary Serialization   : Ciborium (CBOR - RFC 8949) &amp; Bytemuck (Zero-Copy)       |</w:t>
        <w:br w:type="textWrapping"/>
        <w:t xml:space="preserve">|  Windows Platform APIs  : Windows-rs (v0.58) (DXGI, WASAPI, MFT, TPM2-TSS)        |</w:t>
        <w:br w:type="textWrapping"/>
        <w:t xml:space="preserve">|  Linux Platform APIs    : NIX &amp; Pipewire-rs (VAAPI, ALSA, Unix Sockets)           |</w:t>
        <w:br w:type="textWrapping"/>
        <w:t xml:space="preserve">|  Database Layer         : PostgreSQL 15+ &amp; SQLx (for compile-time checked queries)|</w:t>
        <w:br w:type="textWrapping"/>
        <w:t xml:space="preserve">+-----------------------------------------------------------------------------------+</w:t>
        <w:br w:type="textWrapping"/>
        <w:br w:type="textWrapping"/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Crate Interface Specifications &amp; Dependency Boundaries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preserve strict layered architecture, the Rust Workspace must maintain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Acyclic Dependency Graph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Lower layers must remain completely unaware of higher-level business logic.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[bw-console / bw-agent]</w:t>
        <w:br w:type="textWrapping"/>
        <w:t xml:space="preserve">       │</w:t>
        <w:br w:type="textWrapping"/>
        <w:t xml:space="preserve">       ▼</w:t>
        <w:br w:type="textWrapping"/>
        <w:t xml:space="preserve">[bw-transport] ────► [bw-encoder / bw-capture]</w:t>
        <w:br w:type="textWrapping"/>
        <w:t xml:space="preserve">       │</w:t>
        <w:br w:type="textWrapping"/>
        <w:t xml:space="preserve">       ▼</w:t>
        <w:br w:type="textWrapping"/>
        <w:t xml:space="preserve">[bw-protocol] ────► [bw-crypto] ────► [bw-core]</w:t>
        <w:br w:type="textWrapping"/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Crate Contract Registry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2.1.1 bw-core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Responsibilities: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Logging enums, monotonic timing primitives, custom system error code definitions, lock-free static allocation pools.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Upstream Dependencies: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None.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2.1.2 bw-crypto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Responsibilities: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Ed25519 identity key generation and TPM storage wrapping; ephemeral X25519 key exchange; OPAQUE PAKE implementation wrappers; RAM page locking (mlock).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Upstream Dependencies: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bw-core.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2.1.3 bw-protocol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Responsibilities: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Zero-copy binary packet serialization, 32-byte header validation, CBOR capabilities negotiation schemas.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Upstream Dependencies: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bw-core, bw-crypto.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2.1.4 bw-transport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Responsibilities: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Connection state machine, STUN-based UDP hole punching, Quinn client/server orchestration, DRR scheduler.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Upstream Dependencies: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bw-core, bw-protocol.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2.1.5 bw-capture &amp; bw-encoder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Responsibilities: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DXGI/Pipewire display frame acquisition, GPU texture pool management, WASAPI loopback audio capture, and MFT/VAAPI hardware encoder bindings.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Upstream Dependencies: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bw-core.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Vertical Slice Execution Protocol (Sprints 1–4)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Rather than building out the complete complex feature set asynchronously, the development team must prioritize a minimal end-to-end pipeline to validate performance and security assumptions.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[Sprint 1: Bootstrap]       ──►  [Sprint 2: Handshake]     ──►  [Sprint 3: Transport]</w:t>
        <w:br w:type="textWrapping"/>
        <w:t xml:space="preserve">   - Establish Rust Workspace       - OPAQUE PAKE on Signaling     - Quinn UDP Binding</w:t>
        <w:br w:type="textWrapping"/>
        <w:t xml:space="preserve">   - Implement `bw-core` pools      - CBOR Capabilities Swap       - STUN direct hole-punch</w:t>
        <w:br w:type="textWrapping"/>
        <w:t xml:space="preserve">                                                                             │</w:t>
        <w:br w:type="textWrapping"/>
        <w:t xml:space="preserve">   [Sprint 4: Media Flow]      ◄──  [Sprint 4: Decouple]      ◄──────────────┘</w:t>
        <w:br w:type="textWrapping"/>
        <w:t xml:space="preserve">   - DXGI -&gt; NV12 -&gt; H264           - Decode frame on Console</w:t>
        <w:br w:type="textWrapping"/>
        <w:t xml:space="preserve">   - Push over QUIC Datagrams       - Render to window</w:t>
        <w:br w:type="textWrapping"/>
        <w:br w:type="textWrapping"/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Sprint Milestones &amp; Exit Criteria</w:t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Sprint 1: Foundational Workspace &amp; Pools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Deliverable: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 the Rust workspace structure and verify that the LockFreeMemoryPool in bw-core can execute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82773" cy="23250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773" cy="232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continuous checkouts and RAII drops across parallel threads with exactly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1600" cy="23495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234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dynamic memory allocations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monitored via a custom heap profiler.</w:t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Sprint 2: Authentication &amp; Capability Negotiation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Deliverable: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Execute the OPAQUE PAKE handshake between a dummy Console and Agent over a mock local signaling channel. Verify that the subsequent capabilities CBOR negotiation evaluates strictly to DENY for any modified or unmapped feature parameters.</w:t>
      </w:r>
    </w:p>
    <w:p w:rsidR="00000000" w:rsidDel="00000000" w:rsidP="00000000" w:rsidRDefault="00000000" w:rsidRPr="00000000" w14:paraId="0000002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Sprint 3: Traversal &amp; Transport Setup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Deliverable: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Establish the quinn async socket binding sequence. Verify that the Agent can successfully acquire a pre-punched UDP port from the custom STUN traversal module and elevate the raw socket into a secured 1-RTT TLS 1.3 QUIC connection within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89422" cy="23572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9422" cy="235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Sprint 4: The Core Media Pipeline (Photon-to-Photon)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Deliverable: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Build the initial video loop: DXGI Desktop Duplication acquires the desktop texture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6850" cy="2349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850" cy="23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Compute Shader converts to NV12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6850" cy="23495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850" cy="23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Media Foundation Transform (MFT) compresses to H.264 High Profile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6850" cy="2349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850" cy="23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Transport sends raw slices over unreliable QUIC Datagrams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6850" cy="23495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850" cy="23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Console decodes and renders using D3D11.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Exit Gate: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Complete a stable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3200" cy="242529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42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-minute continuous remote session running at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89047" cy="236113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9047" cy="236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 a total host-side processing latency (capture, CSC, and encode) strictly bounded to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02072" cy="234024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072" cy="234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Hardware Verification &amp; Performance Assurance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Sustained execution must be validated on actual physical target environments in our performance lab, employing hardware latency loopbacks and packet loss emulators: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+-----------------------------------------------------------------------------------+</w:t>
        <w:br w:type="textWrapping"/>
        <w:t xml:space="preserve">|                       SOCIALLY AND ENVIRONMENTALLY HARDENED SLA GATE              |</w:t>
        <w:br w:type="textWrapping"/>
        <w:t xml:space="preserve">+-----------------------------------------------------------------------------------+</w:t>
        <w:br w:type="textWrapping"/>
        <w:t xml:space="preserve">|  1080p60 Processing Budget : Capture (≤2ms) + CSC (≤1.5ms) + Encode (≤8ms)       |</w:t>
        <w:br w:type="textWrapping"/>
        <w:t xml:space="preserve">|  Degraded Network Target   : WAN Profile C (150ms RTT, 1% Loss, 5Mbps Symmetric)   |</w:t>
        <w:br w:type="textWrapping"/>
        <w:t xml:space="preserve">|                              - Link must maintain audio continuity &amp; cursor       |</w:t>
        <w:br w:type="textWrapping"/>
        <w:t xml:space="preserve">|                                responsiveness via DRR scheduler prioritization.  |</w:t>
        <w:br w:type="textWrapping"/>
        <w:t xml:space="preserve">+-----------------------------------------------------------------------------------+</w:t>
        <w:br w:type="textWrapping"/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2" Type="http://schemas.openxmlformats.org/officeDocument/2006/relationships/image" Target="media/image6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