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BLACKWING — Product Requirements Document (PRD) v1.0</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ID: BW-PRD-0001 | Version: 1.0-Core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Status: Approved (Entering Phase 3)</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Owner: Principal Product &amp; Security Architecture Group</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Classification: Internal Engineering Standard</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 &amp; Core Mandates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BLACKWING is a performance-critical, zero-trust remote access and computing platform designed to achieve near-native interactive desktop control over arbitrary network topologies. This document translates the finalized Phase 2 technical findings and your structural review adjustments into concrete product specifications, binary wire interfaces, and execution profiles for Phase 3 engineering.</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Core Engineering Invariants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code committed to the Blackwing repository must conform to the following architectural invariants: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Freshness &gt; Completeness:</w:t>
      </w:r>
      <w:r w:rsidDel="00000000" w:rsidR="00000000" w:rsidRPr="00000000">
        <w:rPr>
          <w:rFonts w:ascii="Google Sans" w:cs="Google Sans" w:eastAsia="Google Sans" w:hAnsi="Google Sans"/>
          <w:color w:val="1f1f1f"/>
          <w:rtl w:val="0"/>
        </w:rPr>
        <w:t xml:space="preserve"> In interactive video, audio, and cursor telemetry streams, stale data must be discarded immediately. Dropping frames or updates is always preferred over buffering.</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GPU-First, Zero-Copy:</w:t>
      </w:r>
      <w:r w:rsidDel="00000000" w:rsidR="00000000" w:rsidRPr="00000000">
        <w:rPr>
          <w:rFonts w:ascii="Google Sans" w:cs="Google Sans" w:eastAsia="Google Sans" w:hAnsi="Google Sans"/>
          <w:color w:val="1f1f1f"/>
          <w:rtl w:val="0"/>
        </w:rPr>
        <w:t xml:space="preserve"> No application-visible GPU </w:t>
      </w:r>
      <w:r w:rsidDel="00000000" w:rsidR="00000000" w:rsidRPr="00000000">
        <w:rPr>
          <w:rFonts w:ascii="Google Sans" w:cs="Google Sans" w:eastAsia="Google Sans" w:hAnsi="Google Sans"/>
          <w:color w:val="1f1f1f"/>
        </w:rPr>
        <w:drawing>
          <wp:inline distB="19050" distT="19050" distL="19050" distR="19050">
            <wp:extent cx="196850" cy="23495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685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CPU </w:t>
      </w:r>
      <w:r w:rsidDel="00000000" w:rsidR="00000000" w:rsidRPr="00000000">
        <w:rPr>
          <w:rFonts w:ascii="Google Sans" w:cs="Google Sans" w:eastAsia="Google Sans" w:hAnsi="Google Sans"/>
          <w:color w:val="1f1f1f"/>
        </w:rPr>
        <w:drawing>
          <wp:inline distB="19050" distT="19050" distL="19050" distR="19050">
            <wp:extent cx="196850" cy="23495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685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GPU memory transfers may occur during steady-state screen capturing, color-space conversion, and encoding.</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Zero-Trust (E2EE):</w:t>
      </w:r>
      <w:r w:rsidDel="00000000" w:rsidR="00000000" w:rsidRPr="00000000">
        <w:rPr>
          <w:rFonts w:ascii="Google Sans" w:cs="Google Sans" w:eastAsia="Google Sans" w:hAnsi="Google Sans"/>
          <w:color w:val="1f1f1f"/>
          <w:rtl w:val="0"/>
        </w:rPr>
        <w:t xml:space="preserve"> The control plane and relay infrastructure must remain operationally blind to the session payload. Relay servers maintain soft-state routing context but never hold decryption keys.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Deny-by-Default:</w:t>
      </w:r>
      <w:r w:rsidDel="00000000" w:rsidR="00000000" w:rsidRPr="00000000">
        <w:rPr>
          <w:rFonts w:ascii="Google Sans" w:cs="Google Sans" w:eastAsia="Google Sans" w:hAnsi="Google Sans"/>
          <w:color w:val="1f1f1f"/>
          <w:rtl w:val="0"/>
        </w:rPr>
        <w:t xml:space="preserve"> Any capability, feature flag, or administrative rule not explicitly defined or negotiated evaluates strictly to DENY.</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Updated Protocol Specifications &amp; Wire Format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support long-term versioning, clean reconnect migrations, and prevent frame/packet alignment issues during network handovers, the primary wire format is formalized here.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Blackwing Packet Header (Refined 32-Byte Layout)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application-layer payload passing over a reliable QUIC stream or unreliable QUIC DATAGRAM frame must begin with this 32-byte fixed-width binary header.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0                   1                   2                   3</w:t>
        <w:br w:type="textWrapping"/>
        <w:t xml:space="preserve"> 0 1 2 3 4 5 6 7 8 9 0 1 2 3 4 5 6 7 8 9 0 1 2 3 4 5 6 7 8 9 0 1</w:t>
        <w:br w:type="textWrapping"/>
        <w:t xml:space="preserve">+-+-+-+-+-+-+-+-+-+-+-+-+-+-+-+-+-+-+-+-+-+-+-+-+-+-+-+-+-+-+-+-+</w:t>
        <w:br w:type="textWrapping"/>
        <w:t xml:space="preserve">|          Schema Version       |             Flags             |</w:t>
        <w:br w:type="textWrapping"/>
        <w:t xml:space="preserve">+-+-+-+-+-+-+-+-+-+-+-+-+-+-+-+-+-+-+-+-+-+-+-+-+-+-+-+-+-+-+-+-+</w:t>
        <w:br w:type="textWrapping"/>
        <w:t xml:space="preserve">|          Packet Type          |         Payload Length        |</w:t>
        <w:br w:type="textWrapping"/>
        <w:t xml:space="preserve">+-+-+-+-+-+-+-+-+-+-+-+-+-+-+-+-+-+-+-+-+-+-+-+-+-+-+-+-+-+-+-+-+</w:t>
        <w:br w:type="textWrapping"/>
        <w:t xml:space="preserve">|                        Sequence Number                        |</w:t>
        <w:br w:type="textWrapping"/>
        <w:t xml:space="preserve">+-+-+-+-+-+-+-+-+-+-+-+-+-+-+-+-+-+-+-+-+-+-+-+-+-+-+-+-+-+-+-+-+</w:t>
        <w:br w:type="textWrapping"/>
        <w:t xml:space="preserve">|                                                               |</w:t>
        <w:br w:type="textWrapping"/>
        <w:t xml:space="preserve">+                         Session Epoch                         +</w:t>
        <w:br w:type="textWrapping"/>
        <w:t xml:space="preserve">|                        (64-bit Integer)                       |</w:t>
        <w:br w:type="textWrapping"/>
        <w:t xml:space="preserve">+-+-+-+-+-+-+-+-+-+-+-+-+-+-+-+-+-+-+-+-+-+-+-+-+-+-+-+-+-+-+-+-+</w:t>
        <w:br w:type="textWrapping"/>
        <w:t xml:space="preserve">|                                                               |</w:t>
        <w:br w:type="textWrapping"/>
        <w:t xml:space="preserve">+                      Monotonic Timestamp                      +</w:t>
        <w:br w:type="textWrapping"/>
        <w:t xml:space="preserve">|                        (64-bit Integer)                       |</w:t>
        <w:br w:type="textWrapping"/>
        <w:t xml:space="preserve">+-+-+-+-+-+-+-+-+-+-+-+-+-+-+-+-+-+-+-+-+-+-+-+-+-+-+-+-+-+-+-+-+</w:t>
        <w:br w:type="textWrapping"/>
        <w:t xml:space="preserve">|                       Payload Data...                         |</w:t>
        <w:br w:type="textWrapping"/>
        <w:t xml:space="preserve">+-+-+-+-+-+-+-+-+-+-+-+-+-+-+-+-+-+-+-+-+-+-+-+-+-+-+-+-+-+-+-+-+</w:t>
        <w:br w:type="textWrapping"/>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Field Offset Details: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Schema Version (16-bits, Offset 0):</w:t>
      </w:r>
      <w:r w:rsidDel="00000000" w:rsidR="00000000" w:rsidRPr="00000000">
        <w:rPr>
          <w:rFonts w:ascii="Google Sans" w:cs="Google Sans" w:eastAsia="Google Sans" w:hAnsi="Google Sans"/>
          <w:color w:val="1f1f1f"/>
          <w:rtl w:val="0"/>
        </w:rPr>
        <w:t xml:space="preserve"> Tracks the serialization layout version.</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Flags (16-bits, Offset 16):</w:t>
      </w:r>
      <w:r w:rsidDel="00000000" w:rsidR="00000000" w:rsidRPr="00000000">
        <w:rPr>
          <w:rFonts w:ascii="Google Sans" w:cs="Google Sans" w:eastAsia="Google Sans" w:hAnsi="Google Sans"/>
          <w:color w:val="1f1f1f"/>
          <w:rtl w:val="0"/>
        </w:rPr>
        <w:t xml:space="preserve"> Bit fields indicating payload state (0x0001 = Encrypted, 0x0002 = IDR Keyframe Request, 0x0004 = Transport Priority Elevation).</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Packet Type (16-bits, Offset 32):</w:t>
      </w:r>
      <w:r w:rsidDel="00000000" w:rsidR="00000000" w:rsidRPr="00000000">
        <w:rPr>
          <w:rFonts w:ascii="Google Sans" w:cs="Google Sans" w:eastAsia="Google Sans" w:hAnsi="Google Sans"/>
          <w:color w:val="1f1f1f"/>
          <w:rtl w:val="0"/>
        </w:rPr>
        <w:t xml:space="preserve"> Payload enum (e.g., 0x0001 = Video Delta, 0x0002 = Keyframe, 0x0003 = Keyboard State, 0x0004 = Mouse Input).</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Payload Length (16-bits, Offset 48):</w:t>
      </w:r>
      <w:r w:rsidDel="00000000" w:rsidR="00000000" w:rsidRPr="00000000">
        <w:rPr>
          <w:rFonts w:ascii="Google Sans" w:cs="Google Sans" w:eastAsia="Google Sans" w:hAnsi="Google Sans"/>
          <w:color w:val="1f1f1f"/>
          <w:rtl w:val="0"/>
        </w:rPr>
        <w:t xml:space="preserve"> Total size of downstream payload in bytes, excluding the 32-byte header.</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Sequence Number (32-bits, Offset 64):</w:t>
      </w:r>
      <w:r w:rsidDel="00000000" w:rsidR="00000000" w:rsidRPr="00000000">
        <w:rPr>
          <w:rFonts w:ascii="Google Sans" w:cs="Google Sans" w:eastAsia="Google Sans" w:hAnsi="Google Sans"/>
          <w:color w:val="1f1f1f"/>
          <w:rtl w:val="0"/>
        </w:rPr>
        <w:t xml:space="preserve"> Incrementing integer to prevent replay attacks and map packet loss.</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Session Epoch (64-bits, Offset 96):</w:t>
      </w:r>
      <w:r w:rsidDel="00000000" w:rsidR="00000000" w:rsidRPr="00000000">
        <w:rPr>
          <w:rFonts w:ascii="Google Sans" w:cs="Google Sans" w:eastAsia="Google Sans" w:hAnsi="Google Sans"/>
          <w:color w:val="1f1f1f"/>
          <w:rtl w:val="0"/>
        </w:rPr>
        <w:t xml:space="preserve"> Cryptographically random identifier generated per session. Used to differentiate connection states during handoffs, preventing packet leakage during migration.</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Monotonic Timestamp (64-bits, Offset 160):</w:t>
      </w:r>
      <w:r w:rsidDel="00000000" w:rsidR="00000000" w:rsidRPr="00000000">
        <w:rPr>
          <w:rFonts w:ascii="Google Sans" w:cs="Google Sans" w:eastAsia="Google Sans" w:hAnsi="Google Sans"/>
          <w:color w:val="1f1f1f"/>
          <w:rtl w:val="0"/>
        </w:rPr>
        <w:t xml:space="preserve"> Tracks time in microseconds relative to the session start, using the OS's invariant monotonic clock. Upgrading from 32-bit to 64-bit prevents the 71-minute overflow vulnerability.</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Expanded QUIC Stream Registry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Stream IDs are allocated statically up to ID 31 to prevent protocol drift and support future enterprise expansions: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Stream 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Purpose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Delivery Guarantee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Priority Class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Congestion Pacing Policy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Session Control &amp; Capabilities Handshake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Reliable, Ordered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Control (Highest)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Active Pacing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Keyboard State &amp; Press/Release Events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Reliable, Ordered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Interactive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Immediate / No Delay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Mouse Pointer &amp; Touch Coordinates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Unreliable (Datagram)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Interactive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Immediate / Coalesce Enabled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Screen Video Payload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Unreliable (Datagram)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BBR Congestion Paced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 Audio Payload (Opus)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Unreliable (Datagram)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Frame-Paced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Clipboard Metadata &amp; State Exchange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Reliable, Ordered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Synchronization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TCP-Friendly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File Transfer Data Channel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Reliable, Ordered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Bulk (Lowest)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Bandwidth Limited (Max 25% link)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 Diagnostics &amp; Telemetry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Reliable, Ordered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Diagnostics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Background Paced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Secure Remote Terminal / Shell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Reliable, Ordered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Control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Immediate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Remote USB Redirection (Raw IP)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Reliable, Ordered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Bulk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TCP-Friendly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Camera / Video Pass-through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Unreliable (Datagram)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Congestion Paced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Virtual Channel API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Reliable/Unreliable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Configurable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Dynamic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12–31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Reserved for Future System Expansion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Advanced Memory &amp; Hardware Hardening Specifications</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NUMA-Aware Thread Pinning Policy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high-throughput multi-socket system deployments (e.g., enterprise servers, cloud graphics instances), cross-socket Interconnect bus transactions (such as Intel UPI or AMD Infinity Fabric) add significant latency and jitter to rendering pipelines.</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Alignment Mandate:</w:t>
      </w:r>
      <w:r w:rsidDel="00000000" w:rsidR="00000000" w:rsidRPr="00000000">
        <w:rPr>
          <w:rFonts w:ascii="Google Sans" w:cs="Google Sans" w:eastAsia="Google Sans" w:hAnsi="Google Sans"/>
          <w:color w:val="1f1f1f"/>
          <w:rtl w:val="0"/>
        </w:rPr>
        <w:t xml:space="preserve"> The CaptureThread and EncoderThread must be bound exclusively to physical cores co-located on the same NUMA node as the PCIe lanes hosting the active GPU and Network Interface Card (NIC).</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Execution:</w:t>
      </w:r>
      <w:r w:rsidDel="00000000" w:rsidR="00000000" w:rsidRPr="00000000">
        <w:rPr>
          <w:rFonts w:ascii="Google Sans" w:cs="Google Sans" w:eastAsia="Google Sans" w:hAnsi="Google Sans"/>
          <w:color w:val="1f1f1f"/>
          <w:rtl w:val="0"/>
        </w:rPr>
        <w:t xml:space="preserve"> During initialization, the bw-core platform-layer abstraction must query NUMA topologies (via libnuma on Linux, or GetNumaProcessorNode on Windows) and apply thread affinity masks dynamically.</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TPM 2.0 Key-Sealing Architecture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many commercial TPM 2.0 chips do not natively or efficiently generate Ed25519 signing keys, the Identity key storage must use a hybrid wrapping design: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Host Memory Space]                       [TPM 2.0 Hardware Boundary]</w:t>
        <w:br w:type="textWrapping"/>
        <w:t xml:space="preserve">  </w:t>
        <w:br w:type="textWrapping"/>
        <w:t xml:space="preserve">  Generate Ed25519 Identity Key ───┐</w:t>
        <w:br w:type="textWrapping"/>
        <w:t xml:space="preserve">                                   │</w:t>
        <w:br w:type="textWrapping"/>
        <w:t xml:space="preserve">                                   ▼ (Encrypted with AES-GCM-256 Key)</w:t>
        <w:br w:type="textWrapping"/>
        <w:t xml:space="preserve">  Sealed Private Identity Key File ◄── [TPM Storage Root Key (SRK)]</w:t>
        <w:br w:type="textWrapping"/>
        <w:t xml:space="preserve">                                       - Tied to system state (PCR 0, 7, 11)</w:t>
        <w:br w:type="textWrapping"/>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Generation:</w:t>
      </w:r>
      <w:r w:rsidDel="00000000" w:rsidR="00000000" w:rsidRPr="00000000">
        <w:rPr>
          <w:rFonts w:ascii="Google Sans" w:cs="Google Sans" w:eastAsia="Google Sans" w:hAnsi="Google Sans"/>
          <w:color w:val="1f1f1f"/>
          <w:rtl w:val="0"/>
        </w:rPr>
        <w:t xml:space="preserve"> The Agent generates a cryptographically secure, random local Ed25519 identity keypair in locked host memory.</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Wrapping:</w:t>
      </w:r>
      <w:r w:rsidDel="00000000" w:rsidR="00000000" w:rsidRPr="00000000">
        <w:rPr>
          <w:rFonts w:ascii="Google Sans" w:cs="Google Sans" w:eastAsia="Google Sans" w:hAnsi="Google Sans"/>
          <w:color w:val="1f1f1f"/>
          <w:rtl w:val="0"/>
        </w:rPr>
        <w:t xml:space="preserve"> The key material is encrypted using AES-GCM-256. The master AES key is handed to the TPM 2.0 chip, which seals (encrypts) it using the TPM Storage Root Key (SRK).</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PCR Binding:</w:t>
      </w:r>
      <w:r w:rsidDel="00000000" w:rsidR="00000000" w:rsidRPr="00000000">
        <w:rPr>
          <w:rFonts w:ascii="Google Sans" w:cs="Google Sans" w:eastAsia="Google Sans" w:hAnsi="Google Sans"/>
          <w:color w:val="1f1f1f"/>
          <w:rtl w:val="0"/>
        </w:rPr>
        <w:t xml:space="preserve"> The sealing operation is bound to PCR registers (typically PCR 0, 7, and 11) to ensure the key is only decryptable if the system booted with Secure Boot enabled and has not entered an untrusted firmware state.</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Transient Use:</w:t>
      </w:r>
      <w:r w:rsidDel="00000000" w:rsidR="00000000" w:rsidRPr="00000000">
        <w:rPr>
          <w:rFonts w:ascii="Google Sans" w:cs="Google Sans" w:eastAsia="Google Sans" w:hAnsi="Google Sans"/>
          <w:color w:val="1f1f1f"/>
          <w:rtl w:val="0"/>
        </w:rPr>
        <w:t xml:space="preserve"> At runtime, the sealed key is unwrapped via the TPM into host memory pages locked via mlock() / VirtualLock(), then cleanly zeroized upon session termination.</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Dynamic Policy-Controlled Anti-Debugging</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malware or unauthorized system tools from hijacking the privileged Agent service, the anti-debugging engine enforces three distinct operating profiles configured via administrative policy:</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Policy Setting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Allowed Use-Cases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Enforcement Actions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Allow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Local internal engineering, development builds, and verified driver debugging.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Diagnostic logs flag a warning; no termination occurs. Platform security is assumed to be handled by the developer.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Warn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Troubleshooting non-production customer environments under active supervision.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system registers structured trace telemetry and fires an audit log to the control plane, but allows the session to persist.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Terminate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Mandatory default for all production deployments.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Upon detecting an unauthorized debugger attachment or local memory scanning hook, the process instantly zeroizes all RAM-locked keys and terminates with exit code BW-5002.</w:t>
            </w:r>
          </w:p>
        </w:tc>
      </w:tr>
    </w:tbl>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Master Configuration Specification (blackwing.toml)</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endpoint policies, connection modes, and hardware configurations must resolve through a validated configuration schema. Below is the canonical structure for the host Agent: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PROJECT BLACKWING — Host Agent Configuration File</w:t>
        <w:br w:type="textWrapping"/>
        <w:t xml:space="preserve"># Location: %PROGRAMDATA%\Blackwing\blackwing.toml (Windows) / /etc/blackwing/blackwing.toml (Linux)</w:t>
        <w:br w:type="textWrapping"/>
        <w:br w:type="textWrapping"/>
        <w:t xml:space="preserve">[identity]</w:t>
        <w:br w:type="textWrapping"/>
        <w:t xml:space="preserve">device_id = "BW-ID-e2fb16aa7c312782e18b01019c"</w:t>
        <w:br w:type="textWrapping"/>
        <w:t xml:space="preserve">tenant_id = "tenant_enterprise_us_east"</w:t>
        <w:br w:type="textWrapping"/>
        <w:t xml:space="preserve">tpm_enabled = true</w:t>
        <w:br w:type="textWrapping"/>
        <w:t xml:space="preserve">pcr_binding_profile = "secure_boot_only"</w:t>
        <w:br w:type="textWrapping"/>
        <w:br w:type="textWrapping"/>
        <w:t xml:space="preserve">[network]</w:t>
        <w:br w:type="textWrapping"/>
        <w:t xml:space="preserve">listen_port = 44321</w:t>
        <w:br w:type="textWrapping"/>
        <w:t xml:space="preserve">force_relay = false</w:t>
        <w:br w:type="textWrapping"/>
        <w:t xml:space="preserve">allowed_ip_ranges = ["10.0.0.0/8", "192.168.1.0/24"]</w:t>
        <w:br w:type="textWrapping"/>
        <w:t xml:space="preserve">congestion_control_algorithm = "BBR" # Options: BBR, CUBIC, NewReno</w:t>
        <w:br w:type="textWrapping"/>
        <w:t xml:space="preserve">mtu_discovery = true</w:t>
        <w:br w:type="textWrapping"/>
        <w:br w:type="textWrapping"/>
        <w:t xml:space="preserve">[capture_pipeline]</w:t>
        <w:br w:type="textWrapping"/>
        <w:t xml:space="preserve">api_backend = "DXGI" # Options: DXGI, WGC, GDI, PipeWire</w:t>
        <w:br w:type="textWrapping"/>
        <w:t xml:space="preserve">gpu_texture_pool_size = 4 # Must remain static to prevent dynamic VRAM allocations</w:t>
        <w:br w:type="textWrapping"/>
        <w:t xml:space="preserve">target_fps = 60</w:t>
        <w:br w:type="textWrapping"/>
        <w:t xml:space="preserve">dynamic_resolution_scaling = true</w:t>
        <w:br w:type="textWrapping"/>
        <w:br w:type="textWrapping"/>
        <w:t xml:space="preserve">[codec_capabilities]</w:t>
        <w:br w:type="textWrapping"/>
        <w:t xml:space="preserve">preferred_codec = "AV1" # Fallback hierarchy: AV1 -&gt; H264</w:t>
        <w:br w:type="textWrapping"/>
        <w:t xml:space="preserve">force_hardware_encoding = true</w:t>
        <w:br w:type="textWrapping"/>
        <w:t xml:space="preserve">enable_screen_content_coding = true</w:t>
        <w:br w:type="textWrapping"/>
        <w:t xml:space="preserve">quantization_parameter_limit = { min = 10, max = 45 }</w:t>
        <w:br w:type="textWrapping"/>
        <w:br w:type="textWrapping"/>
        <w:t xml:space="preserve">[security_hardening]</w:t>
        <w:br w:type="textWrapping"/>
        <w:t xml:space="preserve">anti_debug_mode = "Terminate" # Options: Allow, Warn, Terminate</w:t>
        <w:br w:type="textWrapping"/>
        <w:t xml:space="preserve">lock_memory_pages = true</w:t>
        <w:br w:type="textWrapping"/>
        <w:t xml:space="preserve">zeroize_on_drop = true</w:t>
        <w:br w:type="textWrapping"/>
        <w:t xml:space="preserve">require_signed_policies = true</w:t>
        <w:br w:type="textWrapping"/>
        <w:t xml:space="preserve">allowed_signing_public_key = "8a3f9c621817be0d10b8cf892019918bcde09a9bc"</w:t>
        <w:br w:type="textWrapping"/>
        <w:br w:type="textWrapping"/>
        <w:t xml:space="preserve">[diagnostics]</w:t>
        <w:br w:type="textWrapping"/>
        <w:t xml:space="preserve">structured_logging = "JSON"</w:t>
        <w:br w:type="textWrapping"/>
        <w:t xml:space="preserve">log_level = "Warn" # Options: Trace, Debug, Info, Warn, Error</w:t>
        <w:br w:type="textWrapping"/>
        <w:t xml:space="preserve">perf_metrics_ring_buffer_size = 1000</w:t>
        <w:br w:type="textWrapping"/>
        <w:t xml:space="preserve">crash_dumps_enabled = true</w:t>
        <w:br w:type="textWrapping"/>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Master Error Code Registry</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simplify enterprise diagnostics and prevent security leaks, Blackwing defines a stable, structured Error Code Registry.</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Error Code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Classification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Severity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Meaning &amp; Diagnostic Context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BW-1000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Authentication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Critical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Authentication Handshake Failed: Invalid signature or PAKE mismatch.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BW-1001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Authentication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Authorization Token Expired or Cryptographically Invalid.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BW-1002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Authentication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Device Identity Revoked by Central Identity Plane.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BW-1003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Authentication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Administrative Policy Verification Failed: Bad signature from policy authority.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BW-2000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Transport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Critical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QUIC Connection Timed Out during initial 1-RTT handshake.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BW-2001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Transport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STUN Hole Punch Failed; fallback to Relay triggered.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BW-2002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Transport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UDP Traffic Blocked: Port 443/UDP unreachable; falling back to TCP Relay.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BW-3000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Display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 Capture API Initialization Failed (e.g., DXGI interface unavailable).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BW-3001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Display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Frame Capture Overwrite Triggered: Processing pipeline stalled, frame dropped.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BW-3002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Display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Resolution Allocation Limit Exceeded (Resource allocation safety boundaries violated).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BW-4000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Codec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Hardware Encoder Initialization Failed: Missing drivers or hardware.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BW-4001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Codec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Critical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Bitrate Controller Crash: Out-of-bounds congestion telemetry from transport layer.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BW-5000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Runtime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Critical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Secure Local IPC Compromised: Client/Server identity verification mismatch.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BW-5001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Runtime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Memory Lock Allocation Error: OS refused mlock page allocation.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BW-5002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Runtime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Critical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Anti-Debugging Violation: Unauthorized debugger attached, process terminated.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BW-5003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Runtime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Critical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Update Verification Failed: Payload signature mismatch on update download.</w:t>
            </w:r>
          </w:p>
        </w:tc>
      </w:tr>
    </w:tbl>
    <w:p w:rsidR="00000000" w:rsidDel="00000000" w:rsidP="00000000" w:rsidRDefault="00000000" w:rsidRPr="00000000" w14:paraId="000000C6">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Formal Threat Model (STRIDE Framework)</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fulfill the "Security by Default" principle, all systems are evaluated against this active STRIDE threat matrix.</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[Attacker Target Assets]</w:t>
        <w:br w:type="textWrapping"/>
        <w:t xml:space="preserve">           ├── Long-term Cryptographic Keys (Ed25519)</w:t>
        <w:br w:type="textWrapping"/>
        <w:t xml:space="preserve">           ├── Active Session Keys (X25519)</w:t>
        <w:br w:type="textWrapping"/>
        <w:t xml:space="preserve">           ├── Unencrypted Video/Frame VRAM</w:t>
        <w:br w:type="textWrapping"/>
        <w:t xml:space="preserve">           ├── Host Administrative Control (SYSTEM/root)</w:t>
        <w:br w:type="textWrapping"/>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STRIDE Vulnerability &amp; Countermeasure Matrix</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Threat 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Threat Scenario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Impacted Asset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 Blackwing Countermeasure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Spoofing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Rogue node masquerades as an authorized Agent to hijack client connections.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Console Trust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Session authentication relies on asymmetric </w:t>
            </w:r>
            <w:r w:rsidDel="00000000" w:rsidR="00000000" w:rsidRPr="00000000">
              <w:rPr>
                <w:rFonts w:ascii="Google Sans" w:cs="Google Sans" w:eastAsia="Google Sans" w:hAnsi="Google Sans"/>
                <w:b w:val="1"/>
                <w:bCs w:val="1"/>
                <w:color w:val="1f1f1f"/>
                <w:shd w:fill="auto" w:val="clear"/>
                <w:rtl w:val="0"/>
              </w:rPr>
              <w:t xml:space="preserve">PAKE</w:t>
            </w:r>
            <w:r w:rsidDel="00000000" w:rsidR="00000000" w:rsidRPr="00000000">
              <w:rPr>
                <w:rFonts w:ascii="Google Sans" w:cs="Google Sans" w:eastAsia="Google Sans" w:hAnsi="Google Sans"/>
                <w:color w:val="1f1f1f"/>
                <w:shd w:fill="auto" w:val="clear"/>
                <w:rtl w:val="0"/>
              </w:rPr>
              <w:t xml:space="preserve"> and Ed25519 identity keys validated against the Identity Plane directory.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Tampering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Attacker executes a memory injection payload on a compromised Relay to capture video frames.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Session Payload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Complete end-to-end encryption (E2EE) using </w:t>
            </w:r>
            <w:r w:rsidDel="00000000" w:rsidR="00000000" w:rsidRPr="00000000">
              <w:rPr>
                <w:rFonts w:ascii="Google Sans" w:cs="Google Sans" w:eastAsia="Google Sans" w:hAnsi="Google Sans"/>
                <w:b w:val="1"/>
                <w:bCs w:val="1"/>
                <w:color w:val="1f1f1f"/>
                <w:shd w:fill="auto" w:val="clear"/>
                <w:rtl w:val="0"/>
              </w:rPr>
              <w:t xml:space="preserve">TLS 1.3</w:t>
            </w:r>
            <w:r w:rsidDel="00000000" w:rsidR="00000000" w:rsidRPr="00000000">
              <w:rPr>
                <w:rFonts w:ascii="Google Sans" w:cs="Google Sans" w:eastAsia="Google Sans" w:hAnsi="Google Sans"/>
                <w:color w:val="1f1f1f"/>
                <w:shd w:fill="auto" w:val="clear"/>
                <w:rtl w:val="0"/>
              </w:rPr>
              <w:t xml:space="preserve"> primitives. Relay servers only route ciphertexts.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Repudiation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Malicious administrator executes unauthorized commands and deletes session audit logs.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Operational Integrity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Audit logs are written asynchronously in structured JSON, hashed, and immediately piped off-host over an encrypted channel.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Information Disclosure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Memory scraping tool scans host RAM swap files to extract historical clipboard or key data.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Ephemeral Secrets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Mandatory utilization of the Zeroize trait on drop; RAM pages are explicitly locked via mlock() and VirtualLock().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Denial of Service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High-volume UDP flood targets the Agent to exhaust socket descriptors and halt remote operations.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Availability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limits connections to authorized tenants early in the handshake; socket allocations are bound to short-lived timeouts.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Elevation of Privilege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Attacker exploits a parser bug in the user-facing Console application to gain SYSTEM privileges.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Host Access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Split-Privilege Architecture (ADR-010):</w:t>
            </w:r>
            <w:r w:rsidDel="00000000" w:rsidR="00000000" w:rsidRPr="00000000">
              <w:rPr>
                <w:rFonts w:ascii="Google Sans" w:cs="Google Sans" w:eastAsia="Google Sans" w:hAnsi="Google Sans"/>
                <w:color w:val="1f1f1f"/>
                <w:shd w:fill="auto" w:val="clear"/>
                <w:rtl w:val="0"/>
              </w:rPr>
              <w:t xml:space="preserve"> The network-facing Session Runner executes with standard User context.</w:t>
            </w:r>
          </w:p>
        </w:tc>
      </w:tr>
    </w:tbl>
    <w:p w:rsidR="00000000" w:rsidDel="00000000" w:rsidP="00000000" w:rsidRDefault="00000000" w:rsidRPr="00000000" w14:paraId="000000E6">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Performance &amp; Verification Specifications</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Quantitative Benchmark Targets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production-grade certification, every release must pass these automated hardware profiles under </w:t>
      </w:r>
      <w:r w:rsidDel="00000000" w:rsidR="00000000" w:rsidRPr="00000000">
        <w:rPr>
          <w:rFonts w:ascii="Google Sans" w:cs="Google Sans" w:eastAsia="Google Sans" w:hAnsi="Google Sans"/>
          <w:b w:val="1"/>
          <w:bCs w:val="1"/>
          <w:color w:val="1f1f1f"/>
          <w:rtl w:val="0"/>
        </w:rPr>
        <w:t xml:space="preserve">Baseline Network Profile 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95300" cy="23495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5300" cy="2349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RTT, </w:t>
      </w:r>
      <w:r w:rsidDel="00000000" w:rsidR="00000000" w:rsidRPr="00000000">
        <w:rPr>
          <w:rFonts w:ascii="Google Sans" w:cs="Google Sans" w:eastAsia="Google Sans" w:hAnsi="Google Sans"/>
          <w:color w:val="1f1f1f"/>
        </w:rPr>
        <w:drawing>
          <wp:inline distB="19050" distT="19050" distL="19050" distR="19050">
            <wp:extent cx="632222" cy="236285"/>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32222" cy="2362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packet loss):</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Benchmark Class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1080p60 Profile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1440p60 Profile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4K60 Profile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Verification Tool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Capture Latency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663972" cy="208677"/>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63972" cy="20867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663972" cy="208677"/>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63972" cy="20867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663972" cy="208677"/>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63972" cy="20867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In-Engine Telemetry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Color-Space Conversion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663972" cy="208677"/>
                  <wp:effectExtent b="0" l="0" r="0" t="0"/>
                  <wp:docPr id="1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63972" cy="20867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663972" cy="208677"/>
                  <wp:effectExtent b="0" l="0" r="0" t="0"/>
                  <wp:docPr id="1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63972" cy="20867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663972" cy="208677"/>
                  <wp:effectExtent b="0" l="0" r="0" t="0"/>
                  <wp:docPr id="1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63972" cy="20867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GPU Query Timestamps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Hardware Encoding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663972" cy="208677"/>
                  <wp:effectExtent b="0" l="0" r="0" t="0"/>
                  <wp:docPr id="1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63972" cy="20867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663972" cy="208677"/>
                  <wp:effectExtent b="0" l="0" r="0" t="0"/>
                  <wp:docPr id="1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63972" cy="20867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752872" cy="210549"/>
                  <wp:effectExtent b="0" l="0" r="0" t="0"/>
                  <wp:docPr id="1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752872" cy="21054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MFT / AMF Event Timers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 Sync Offset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752872" cy="210549"/>
                  <wp:effectExtent b="0" l="0" r="0" t="0"/>
                  <wp:docPr id="1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752872" cy="21054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752872" cy="210549"/>
                  <wp:effectExtent b="0" l="0" r="0" t="0"/>
                  <wp:docPr id="1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752872" cy="21054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752872" cy="210549"/>
                  <wp:effectExtent b="0" l="0" r="0" t="0"/>
                  <wp:docPr id="1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752872" cy="21054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Playout Buffer Analytics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Idle Agent CPU Core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549672" cy="208496"/>
                  <wp:effectExtent b="0" l="0" r="0" t="0"/>
                  <wp:docPr id="1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49672" cy="20849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549672" cy="208496"/>
                  <wp:effectExtent b="0" l="0" r="0" t="0"/>
                  <wp:docPr id="2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49672" cy="20849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549672" cy="208496"/>
                  <wp:effectExtent b="0" l="0" r="0" t="0"/>
                  <wp:docPr id="2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49672" cy="20849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perf / Task Manager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Idle Agent RAM (RSS)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683022" cy="208701"/>
                  <wp:effectExtent b="0" l="0" r="0" t="0"/>
                  <wp:docPr id="2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83022" cy="20870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683022" cy="208701"/>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83022" cy="20870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683022" cy="208701"/>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83022" cy="20870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Heap Profiler (Valgrind)</w:t>
            </w:r>
          </w:p>
        </w:tc>
      </w:tr>
    </w:tbl>
    <w:p w:rsidR="00000000" w:rsidDel="00000000" w:rsidP="00000000" w:rsidRDefault="00000000" w:rsidRPr="00000000" w14:paraId="0000010C">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Hardened CI Verification Suite</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GitHub Actions build pipeline enforces rigorous runtime security and memory checks before code can be merged into the main branch:</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 Raised] ──► cargo deny (License/Audit) ──► cargo nextest (Tests) ──► cargo llvm-cov ──► cargo fuzz (Protocol)</w:t>
        <w:br w:type="textWrapping"/>
      </w:r>
    </w:p>
    <w:p w:rsidR="00000000" w:rsidDel="00000000" w:rsidP="00000000" w:rsidRDefault="00000000" w:rsidRPr="00000000" w14:paraId="0000010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cargo deny:</w:t>
      </w:r>
      <w:r w:rsidDel="00000000" w:rsidR="00000000" w:rsidRPr="00000000">
        <w:rPr>
          <w:rFonts w:ascii="Google Sans" w:cs="Google Sans" w:eastAsia="Google Sans" w:hAnsi="Google Sans"/>
          <w:color w:val="1f1f1f"/>
          <w:rtl w:val="0"/>
        </w:rPr>
        <w:t xml:space="preserve"> Continuously checks dependency trees for banned open-source licenses and known vulnerable crate chains.</w:t>
      </w:r>
    </w:p>
    <w:p w:rsidR="00000000" w:rsidDel="00000000" w:rsidP="00000000" w:rsidRDefault="00000000" w:rsidRPr="00000000" w14:paraId="0000011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cargo nextest:</w:t>
      </w:r>
      <w:r w:rsidDel="00000000" w:rsidR="00000000" w:rsidRPr="00000000">
        <w:rPr>
          <w:rFonts w:ascii="Google Sans" w:cs="Google Sans" w:eastAsia="Google Sans" w:hAnsi="Google Sans"/>
          <w:color w:val="1f1f1f"/>
          <w:rtl w:val="0"/>
        </w:rPr>
        <w:t xml:space="preserve"> Executes the localized test suite in parallel, verifying interface and state machines under aggressive thread constraints.</w:t>
      </w:r>
    </w:p>
    <w:p w:rsidR="00000000" w:rsidDel="00000000" w:rsidP="00000000" w:rsidRDefault="00000000" w:rsidRPr="00000000" w14:paraId="0000011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cargo llvm-cov:</w:t>
      </w:r>
      <w:r w:rsidDel="00000000" w:rsidR="00000000" w:rsidRPr="00000000">
        <w:rPr>
          <w:rFonts w:ascii="Google Sans" w:cs="Google Sans" w:eastAsia="Google Sans" w:hAnsi="Google Sans"/>
          <w:color w:val="1f1f1f"/>
          <w:rtl w:val="0"/>
        </w:rPr>
        <w:t xml:space="preserve"> Enforces a minimum </w:t>
      </w:r>
      <w:r w:rsidDel="00000000" w:rsidR="00000000" w:rsidRPr="00000000">
        <w:rPr>
          <w:rFonts w:ascii="Google Sans" w:cs="Google Sans" w:eastAsia="Google Sans" w:hAnsi="Google Sans"/>
          <w:b w:val="1"/>
          <w:bCs w:val="1"/>
          <w:color w:val="1f1f1f"/>
          <w:rtl w:val="0"/>
        </w:rPr>
        <w:t xml:space="preserve">85% code-coverage</w:t>
      </w:r>
      <w:r w:rsidDel="00000000" w:rsidR="00000000" w:rsidRPr="00000000">
        <w:rPr>
          <w:rFonts w:ascii="Google Sans" w:cs="Google Sans" w:eastAsia="Google Sans" w:hAnsi="Google Sans"/>
          <w:color w:val="1f1f1f"/>
          <w:rtl w:val="0"/>
        </w:rPr>
        <w:t xml:space="preserve"> target across bw-protocol, bw-crypto, and bw-core libraries.</w:t>
      </w:r>
    </w:p>
    <w:p w:rsidR="00000000" w:rsidDel="00000000" w:rsidP="00000000" w:rsidRDefault="00000000" w:rsidRPr="00000000" w14:paraId="0000011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cargo fuzz:</w:t>
      </w:r>
      <w:r w:rsidDel="00000000" w:rsidR="00000000" w:rsidRPr="00000000">
        <w:rPr>
          <w:rFonts w:ascii="Google Sans" w:cs="Google Sans" w:eastAsia="Google Sans" w:hAnsi="Google Sans"/>
          <w:color w:val="1f1f1f"/>
          <w:rtl w:val="0"/>
        </w:rPr>
        <w:t xml:space="preserve"> Runs continuous mutational fuzz testing against the bw-protocol deserializer. Any parser panic or memory exhaustion leak triggers a build-block event.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7.png"/><Relationship Id="rId12"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