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BLACKWING — Technical Research Report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WP-2.6: Cryptography &amp; Authentication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Problem Definition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Blackwing operates under a strict Zero Trust mandate. The network is assumed to be hostile, and intermediate infrastructure (Rendezvous servers, Relays, Control Plane) must be treated as untrusted couriers of ciphertext. The cryptographic architecture must provide strong End-to-End Encryption (E2EE), perfect forward secrecy, mutual authentication, and cryptographic binding between the device's identity (ADR-002) and its transport session (ADR-001).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Device Identity &amp; Trust Model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 of the Blackwing trust model is cryptographic identity, completely divorced from network topology or IP addresses.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Long-Term Identity Keys:</w:t>
      </w:r>
      <w:r w:rsidDel="00000000" w:rsidR="00000000" w:rsidRPr="00000000">
        <w:rPr>
          <w:rFonts w:ascii="Google Sans" w:cs="Google Sans" w:eastAsia="Google Sans" w:hAnsi="Google Sans"/>
          <w:color w:val="1f1f1f"/>
          <w:rtl w:val="0"/>
        </w:rPr>
        <w:t xml:space="preserve"> Upon installation, every Blackwing Agent and Console generates a long-term Ed25519 keypair. The public key (</w:t>
      </w:r>
      <w:r w:rsidDel="00000000" w:rsidR="00000000" w:rsidRPr="00000000">
        <w:rPr>
          <w:rFonts w:ascii="Google Sans" w:cs="Google Sans" w:eastAsia="Google Sans" w:hAnsi="Google Sans"/>
          <w:color w:val="1f1f1f"/>
        </w:rPr>
        <w:drawing>
          <wp:inline distB="19050" distT="19050" distL="19050" distR="19050">
            <wp:extent cx="409773" cy="236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9773" cy="2369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serves as the immutable device identifier within the Blackwing ecosystem.</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Trust Anchoring:</w:t>
      </w:r>
      <w:r w:rsidDel="00000000" w:rsidR="00000000" w:rsidRPr="00000000">
        <w:rPr>
          <w:rFonts w:ascii="Google Sans" w:cs="Google Sans" w:eastAsia="Google Sans" w:hAnsi="Google Sans"/>
          <w:color w:val="1f1f1f"/>
          <w:rtl w:val="0"/>
        </w:rPr>
        <w:t xml:space="preserve"> The Control Plane does not manage transport keys. Instead, it acts as a central Public Key Infrastructure (PKI) directory. When an administrator authorizes a Console to connect to an Agent, the Control Plane securely distributes the Agent's </w:t>
      </w:r>
      <w:r w:rsidDel="00000000" w:rsidR="00000000" w:rsidRPr="00000000">
        <w:rPr>
          <w:rFonts w:ascii="Google Sans" w:cs="Google Sans" w:eastAsia="Google Sans" w:hAnsi="Google Sans"/>
          <w:color w:val="1f1f1f"/>
        </w:rPr>
        <w:drawing>
          <wp:inline distB="19050" distT="19050" distL="19050" distR="19050">
            <wp:extent cx="409773" cy="2369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9773" cy="2369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Console, and vice versa.</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Transport Security Integration (QUIC &amp; TLS 1.3)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QUIC natively mandates TLS 1.3 for session establishment and transport security. Blackwing will leverage this built-in capability rather than reinventing a custom cryptographic protocol (e.g., rolling our own Noise framework over raw UDP).</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Raw Public Keys (RFC 7250):</w:t>
      </w:r>
      <w:r w:rsidDel="00000000" w:rsidR="00000000" w:rsidRPr="00000000">
        <w:rPr>
          <w:rFonts w:ascii="Google Sans" w:cs="Google Sans" w:eastAsia="Google Sans" w:hAnsi="Google Sans"/>
          <w:color w:val="1f1f1f"/>
          <w:rtl w:val="0"/>
        </w:rPr>
        <w:t xml:space="preserve"> Traditional X.509 certificate chains are bloated, complex to parse, and unnecessary for a closed P2P ecosystem. Blackwing will utilize TLS 1.3 with Raw Public Keys. During the TLS handshake, peers exchange and verify their Ed25519 identity keys directly.</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Cipher Suites:</w:t>
      </w:r>
      <w:r w:rsidDel="00000000" w:rsidR="00000000" w:rsidRPr="00000000">
        <w:rPr>
          <w:rFonts w:ascii="Google Sans" w:cs="Google Sans" w:eastAsia="Google Sans" w:hAnsi="Google Sans"/>
          <w:color w:val="1f1f1f"/>
          <w:rtl w:val="0"/>
        </w:rPr>
        <w:t xml:space="preserve"> The system will restrict negotiation to modern, AEAD-only (Authenticated Encryption with Associated Data) cipher suites:</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TLS_CHACHA20_POLY1305_SHA256 (Preferred for software/mobile clients lacking AES hardware instructions).</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TLS_AES_256_GCM_SHA384 (Preferred for desktop hardware with AES-NI support).</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Forward Secrecy:</w:t>
      </w:r>
      <w:r w:rsidDel="00000000" w:rsidR="00000000" w:rsidRPr="00000000">
        <w:rPr>
          <w:rFonts w:ascii="Google Sans" w:cs="Google Sans" w:eastAsia="Google Sans" w:hAnsi="Google Sans"/>
          <w:color w:val="1f1f1f"/>
          <w:rtl w:val="0"/>
        </w:rPr>
        <w:t xml:space="preserve"> The TLS 1.3 handshake uses Ephemeral Elliptic Curve Diffie-Hellman (ECDHE) via Curve25519 (X25519). If a device's long-term Ed25519 key is compromised in the future, past captured sessions cannot be decrypted.</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Key Hierarchy &amp; Lifecycle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relies on a strict key hierarchy to minimize the blast radius of any theoretical compromise.</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Identity Key (</w:t>
      </w:r>
      <w:r w:rsidDel="00000000" w:rsidR="00000000" w:rsidRPr="00000000">
        <w:rPr>
          <w:rFonts w:ascii="Google Sans" w:cs="Google Sans" w:eastAsia="Google Sans" w:hAnsi="Google Sans"/>
          <w:b w:val="1"/>
          <w:bCs w:val="1"/>
          <w:color w:val="1f1f1f"/>
        </w:rPr>
        <w:drawing>
          <wp:inline distB="19050" distT="19050" distL="19050" distR="19050">
            <wp:extent cx="749300" cy="2349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49300" cy="23495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Long-term. Rotated manually via administrative action or upon device revocation.</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Session Ephemeral Key (</w:t>
      </w:r>
      <w:r w:rsidDel="00000000" w:rsidR="00000000" w:rsidRPr="00000000">
        <w:rPr>
          <w:rFonts w:ascii="Google Sans" w:cs="Google Sans" w:eastAsia="Google Sans" w:hAnsi="Google Sans"/>
          <w:b w:val="1"/>
          <w:bCs w:val="1"/>
          <w:color w:val="1f1f1f"/>
        </w:rPr>
        <w:drawing>
          <wp:inline distB="19050" distT="19050" distL="19050" distR="19050">
            <wp:extent cx="654050" cy="23495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54050" cy="23495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Generated per connection attempt. Exists only in RAM. Destroyed instantly upon session termination.</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Traffic Encryption Keys (TEK):</w:t>
      </w:r>
      <w:r w:rsidDel="00000000" w:rsidR="00000000" w:rsidRPr="00000000">
        <w:rPr>
          <w:rFonts w:ascii="Google Sans" w:cs="Google Sans" w:eastAsia="Google Sans" w:hAnsi="Google Sans"/>
          <w:color w:val="1f1f1f"/>
          <w:rtl w:val="0"/>
        </w:rPr>
        <w:t xml:space="preserve"> Derived from the TLS 1.3 Master Secret.</w:t>
      </w:r>
    </w:p>
    <w:p w:rsidR="00000000" w:rsidDel="00000000" w:rsidP="00000000" w:rsidRDefault="00000000" w:rsidRPr="00000000" w14:paraId="00000015">
      <w:pPr>
        <w:numPr>
          <w:ilvl w:val="1"/>
          <w:numId w:val="5"/>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i w:val="1"/>
          <w:iCs w:val="1"/>
          <w:color w:val="1f1f1f"/>
          <w:rtl w:val="0"/>
        </w:rPr>
        <w:t xml:space="preserve">Rotation:</w:t>
      </w:r>
      <w:r w:rsidDel="00000000" w:rsidR="00000000" w:rsidRPr="00000000">
        <w:rPr>
          <w:rFonts w:ascii="Google Sans" w:cs="Google Sans" w:eastAsia="Google Sans" w:hAnsi="Google Sans"/>
          <w:color w:val="1f1f1f"/>
          <w:rtl w:val="0"/>
        </w:rPr>
        <w:t xml:space="preserve"> QUIC allows seamless, mid-connection key updates. Blackwing will enforce TEK rotation based on volume (e.g., after every </w:t>
      </w:r>
      <w:r w:rsidDel="00000000" w:rsidR="00000000" w:rsidRPr="00000000">
        <w:rPr>
          <w:rFonts w:ascii="Google Sans" w:cs="Google Sans" w:eastAsia="Google Sans" w:hAnsi="Google Sans"/>
          <w:color w:val="1f1f1f"/>
        </w:rPr>
        <w:drawing>
          <wp:inline distB="19050" distT="19050" distL="19050" distR="19050">
            <wp:extent cx="282773" cy="232503"/>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82773" cy="2325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bytes transferred) and time (e.g., every 15 minutes) to defend against AEAD nonce exhaustion and side-channel analysis.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Relay Trust Assumptions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P2P traversal fails and traffic must flow through a Blackwing TURN/Relay node, the cryptographic guarantees remain intact.</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Blind Forwarding:</w:t>
      </w:r>
      <w:r w:rsidDel="00000000" w:rsidR="00000000" w:rsidRPr="00000000">
        <w:rPr>
          <w:rFonts w:ascii="Google Sans" w:cs="Google Sans" w:eastAsia="Google Sans" w:hAnsi="Google Sans"/>
          <w:color w:val="1f1f1f"/>
          <w:rtl w:val="0"/>
        </w:rPr>
        <w:t xml:space="preserve"> The Relay node operates at Layer 4 (UDP). It routes QUIC datagrams based on Connection IDs. It does not possess the session keys and cannot decrypt the payload (Video, Input, Clipboard).</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Metadata Protection:</w:t>
      </w:r>
      <w:r w:rsidDel="00000000" w:rsidR="00000000" w:rsidRPr="00000000">
        <w:rPr>
          <w:rFonts w:ascii="Google Sans" w:cs="Google Sans" w:eastAsia="Google Sans" w:hAnsi="Google Sans"/>
          <w:color w:val="1f1f1f"/>
          <w:rtl w:val="0"/>
        </w:rPr>
        <w:t xml:space="preserve"> While the payload is opaque, QUIC exposes packet lengths and timing. Future iterations will evaluate constant-rate padding to obscure traffic signatures (preventing observers from differentiating between a large file transfer and a high-motion video frame).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Session Establishment (The "Blackwing Handshake")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connection sequence merges traversal (WP-2.2) with cryptography (WP-2.6):</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Authorization:</w:t>
      </w:r>
      <w:r w:rsidDel="00000000" w:rsidR="00000000" w:rsidRPr="00000000">
        <w:rPr>
          <w:rFonts w:ascii="Google Sans" w:cs="Google Sans" w:eastAsia="Google Sans" w:hAnsi="Google Sans"/>
          <w:color w:val="1f1f1f"/>
          <w:rtl w:val="0"/>
        </w:rPr>
        <w:t xml:space="preserve"> Console requests connection to Agent via the Control Plane. Control Plane returns a short-lived, signed authorization token and the Agent's </w:t>
      </w:r>
      <w:r w:rsidDel="00000000" w:rsidR="00000000" w:rsidRPr="00000000">
        <w:rPr>
          <w:rFonts w:ascii="Google Sans" w:cs="Google Sans" w:eastAsia="Google Sans" w:hAnsi="Google Sans"/>
          <w:color w:val="1f1f1f"/>
        </w:rPr>
        <w:drawing>
          <wp:inline distB="19050" distT="19050" distL="19050" distR="19050">
            <wp:extent cx="409773" cy="236900"/>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9773" cy="2369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Rendezvous:</w:t>
      </w:r>
      <w:r w:rsidDel="00000000" w:rsidR="00000000" w:rsidRPr="00000000">
        <w:rPr>
          <w:rFonts w:ascii="Google Sans" w:cs="Google Sans" w:eastAsia="Google Sans" w:hAnsi="Google Sans"/>
          <w:color w:val="1f1f1f"/>
          <w:rtl w:val="0"/>
        </w:rPr>
        <w:t xml:space="preserve"> Console and Agent exchange ICE-lite candidates via the Signaling service.</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Transport Handshake:</w:t>
      </w:r>
      <w:r w:rsidDel="00000000" w:rsidR="00000000" w:rsidRPr="00000000">
        <w:rPr>
          <w:rFonts w:ascii="Google Sans" w:cs="Google Sans" w:eastAsia="Google Sans" w:hAnsi="Google Sans"/>
          <w:color w:val="1f1f1f"/>
          <w:rtl w:val="0"/>
        </w:rPr>
        <w:t xml:space="preserve"> Console initiates a QUIC connection to the Agent's verified IP/Port.</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Mutual Authentication (mTLS):</w:t>
      </w:r>
      <w:r w:rsidDel="00000000" w:rsidR="00000000" w:rsidRPr="00000000">
        <w:rPr>
          <w:rFonts w:ascii="Google Sans" w:cs="Google Sans" w:eastAsia="Google Sans" w:hAnsi="Google Sans"/>
          <w:color w:val="1f1f1f"/>
          <w:rtl w:val="0"/>
        </w:rPr>
        <w:t xml:space="preserve"> During the TLS 1.3 handshake, the Console presents its </w:t>
      </w:r>
      <w:r w:rsidDel="00000000" w:rsidR="00000000" w:rsidRPr="00000000">
        <w:rPr>
          <w:rFonts w:ascii="Google Sans" w:cs="Google Sans" w:eastAsia="Google Sans" w:hAnsi="Google Sans"/>
          <w:color w:val="1f1f1f"/>
        </w:rPr>
        <w:drawing>
          <wp:inline distB="19050" distT="19050" distL="19050" distR="19050">
            <wp:extent cx="409773" cy="2369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9773" cy="2369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signed authorization token. The Agent verifies the token's signature against the Control Plane's public key, then verifies the Console's </w:t>
      </w:r>
      <w:r w:rsidDel="00000000" w:rsidR="00000000" w:rsidRPr="00000000">
        <w:rPr>
          <w:rFonts w:ascii="Google Sans" w:cs="Google Sans" w:eastAsia="Google Sans" w:hAnsi="Google Sans"/>
          <w:color w:val="1f1f1f"/>
        </w:rPr>
        <w:drawing>
          <wp:inline distB="19050" distT="19050" distL="19050" distR="19050">
            <wp:extent cx="409773" cy="23690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9773" cy="2369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E2EE Tunnel Established:</w:t>
      </w:r>
      <w:r w:rsidDel="00000000" w:rsidR="00000000" w:rsidRPr="00000000">
        <w:rPr>
          <w:rFonts w:ascii="Google Sans" w:cs="Google Sans" w:eastAsia="Google Sans" w:hAnsi="Google Sans"/>
          <w:color w:val="1f1f1f"/>
          <w:rtl w:val="0"/>
        </w:rPr>
        <w:t xml:space="preserve"> Ephemeral keys are exchanged. Payload transmission begins.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Threat Modeling &amp; Mitigations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Threat Vector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Mitigation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Man-in-the-Middle (Relay Compromise)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E2EE via TLS 1.3. Relay only sees ciphertext; cannot spoof Ed25519 signatures.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Replay Attacks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AEAD sequence numbers (QUIC packet numbers) and strictly monotonic timestamps on input payloads.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Control Plane Breach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Control Plane issues access tokens but </w:t>
            </w:r>
            <w:r w:rsidDel="00000000" w:rsidR="00000000" w:rsidRPr="00000000">
              <w:rPr>
                <w:rFonts w:ascii="Google Sans" w:cs="Google Sans" w:eastAsia="Google Sans" w:hAnsi="Google Sans"/>
                <w:i w:val="1"/>
                <w:iCs w:val="1"/>
                <w:color w:val="1f1f1f"/>
                <w:shd w:fill="auto" w:val="clear"/>
                <w:rtl w:val="0"/>
              </w:rPr>
              <w:t xml:space="preserve">cannot</w:t>
            </w:r>
            <w:r w:rsidDel="00000000" w:rsidR="00000000" w:rsidRPr="00000000">
              <w:rPr>
                <w:rFonts w:ascii="Google Sans" w:cs="Google Sans" w:eastAsia="Google Sans" w:hAnsi="Google Sans"/>
                <w:color w:val="1f1f1f"/>
                <w:shd w:fill="auto" w:val="clear"/>
                <w:rtl w:val="0"/>
              </w:rPr>
              <w:t xml:space="preserve"> decrypt active sessions (lacks private keys).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Denial of Service (Handshake Flooding)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QUIC Retry packets and stateless address validation prevent memory exhaustion on the Agent.</w:t>
            </w:r>
          </w:p>
        </w:tc>
      </w:tr>
    </w:tbl>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 Decision Record</w:t>
      </w:r>
    </w:p>
    <w:p w:rsidR="00000000" w:rsidDel="00000000" w:rsidP="00000000" w:rsidRDefault="00000000" w:rsidRPr="00000000" w14:paraId="0000002D">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ADR-006: Cryptographic Architecture &amp; Trust Model</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Info</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Document ID:</w:t>
      </w:r>
      <w:r w:rsidDel="00000000" w:rsidR="00000000" w:rsidRPr="00000000">
        <w:rPr>
          <w:rFonts w:ascii="Google Sans" w:cs="Google Sans" w:eastAsia="Google Sans" w:hAnsi="Google Sans"/>
          <w:color w:val="1f1f1f"/>
          <w:rtl w:val="0"/>
        </w:rPr>
        <w:t xml:space="preserve"> BW-ADR-0006</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Version:</w:t>
      </w:r>
      <w:r w:rsidDel="00000000" w:rsidR="00000000" w:rsidRPr="00000000">
        <w:rPr>
          <w:rFonts w:ascii="Google Sans" w:cs="Google Sans" w:eastAsia="Google Sans" w:hAnsi="Google Sans"/>
          <w:color w:val="1f1f1f"/>
          <w:rtl w:val="0"/>
        </w:rPr>
        <w:t xml:space="preserve"> 1.0</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Proposed</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Owner:</w:t>
      </w:r>
      <w:r w:rsidDel="00000000" w:rsidR="00000000" w:rsidRPr="00000000">
        <w:rPr>
          <w:rFonts w:ascii="Google Sans" w:cs="Google Sans" w:eastAsia="Google Sans" w:hAnsi="Google Sans"/>
          <w:color w:val="1f1f1f"/>
          <w:rtl w:val="0"/>
        </w:rPr>
        <w:t xml:space="preserve"> Principal Architecture Team</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Blackwing requires a cryptographic framework that provides End-to-End Encryption (E2EE), mutual authentication, and strict adherence to Zero Trust principles, ensuring that neither network intermediaries nor the central Control Plane can inspect or alter interactive sessions.</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Decision</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Long-Term Identity:</w:t>
      </w:r>
      <w:r w:rsidDel="00000000" w:rsidR="00000000" w:rsidRPr="00000000">
        <w:rPr>
          <w:rFonts w:ascii="Google Sans" w:cs="Google Sans" w:eastAsia="Google Sans" w:hAnsi="Google Sans"/>
          <w:color w:val="1f1f1f"/>
          <w:rtl w:val="0"/>
        </w:rPr>
        <w:t xml:space="preserve"> Ed25519 keypairs will represent the immutable identity of all endpoints.</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Transport Security:</w:t>
      </w:r>
      <w:r w:rsidDel="00000000" w:rsidR="00000000" w:rsidRPr="00000000">
        <w:rPr>
          <w:rFonts w:ascii="Google Sans" w:cs="Google Sans" w:eastAsia="Google Sans" w:hAnsi="Google Sans"/>
          <w:color w:val="1f1f1f"/>
          <w:rtl w:val="0"/>
        </w:rPr>
        <w:t xml:space="preserve"> The system will use TLS 1.3 encapsulated within the QUIC transport layer, utilizing Ephemeral Diffie-Hellman (X25519) for perfect forward secrecy.</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Authentication Mechanism:</w:t>
      </w:r>
      <w:r w:rsidDel="00000000" w:rsidR="00000000" w:rsidRPr="00000000">
        <w:rPr>
          <w:rFonts w:ascii="Google Sans" w:cs="Google Sans" w:eastAsia="Google Sans" w:hAnsi="Google Sans"/>
          <w:color w:val="1f1f1f"/>
          <w:rtl w:val="0"/>
        </w:rPr>
        <w:t xml:space="preserve"> Mutual authentication will be achieved via TLS 1.3 Raw Public Keys (RFC 7250) combined with short-lived, Control Plane-signed authorization tokens, eliminating the need for complex X.509 PKI chains.</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Cipher Restrictions:</w:t>
      </w:r>
      <w:r w:rsidDel="00000000" w:rsidR="00000000" w:rsidRPr="00000000">
        <w:rPr>
          <w:rFonts w:ascii="Google Sans" w:cs="Google Sans" w:eastAsia="Google Sans" w:hAnsi="Google Sans"/>
          <w:color w:val="1f1f1f"/>
          <w:rtl w:val="0"/>
        </w:rPr>
        <w:t xml:space="preserve"> Negotiation is strictly limited to AEAD ciphers (ChaCha20-Poly1305 and AES-256-GCM).</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Rationale</w:t>
      </w:r>
    </w:p>
    <w:p w:rsidR="00000000" w:rsidDel="00000000" w:rsidP="00000000" w:rsidRDefault="00000000" w:rsidRPr="00000000" w14:paraId="0000003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Leveraging QUIC's native TLS 1.3 integration prevents the security risks associated with designing custom cryptographic protocols.</w:t>
      </w:r>
    </w:p>
    <w:p w:rsidR="00000000" w:rsidDel="00000000" w:rsidP="00000000" w:rsidRDefault="00000000" w:rsidRPr="00000000" w14:paraId="0000003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Using Raw Public Keys (RFC 7250) drastically reduces handshake overhead and payload size compared to traditional certificates, preserving our sub-50ms latency budget.</w:t>
      </w:r>
    </w:p>
    <w:p w:rsidR="00000000" w:rsidDel="00000000" w:rsidP="00000000" w:rsidRDefault="00000000" w:rsidRPr="00000000" w14:paraId="0000003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Ephemeral keys ensure that a future compromise of a device does not expose historical recorded traffic.</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Consequences</w:t>
      </w:r>
    </w:p>
    <w:p w:rsidR="00000000" w:rsidDel="00000000" w:rsidP="00000000" w:rsidRDefault="00000000" w:rsidRPr="00000000" w14:paraId="0000003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Positive:</w:t>
      </w:r>
      <w:r w:rsidDel="00000000" w:rsidR="00000000" w:rsidRPr="00000000">
        <w:rPr>
          <w:rFonts w:ascii="Google Sans" w:cs="Google Sans" w:eastAsia="Google Sans" w:hAnsi="Google Sans"/>
          <w:color w:val="1f1f1f"/>
          <w:rtl w:val="0"/>
        </w:rPr>
        <w:t xml:space="preserve"> Enterprise-grade security that mathematically prevents MITM attacks, even on compromised networks or relay servers.</w:t>
      </w:r>
    </w:p>
    <w:p w:rsidR="00000000" w:rsidDel="00000000" w:rsidP="00000000" w:rsidRDefault="00000000" w:rsidRPr="00000000" w14:paraId="0000004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Negative:</w:t>
      </w:r>
      <w:r w:rsidDel="00000000" w:rsidR="00000000" w:rsidRPr="00000000">
        <w:rPr>
          <w:rFonts w:ascii="Google Sans" w:cs="Google Sans" w:eastAsia="Google Sans" w:hAnsi="Google Sans"/>
          <w:color w:val="1f1f1f"/>
          <w:rtl w:val="0"/>
        </w:rPr>
        <w:t xml:space="preserve"> Key management and rotation logic must be meticulously handled by the Control Plane, requiring robust synchronization.</w:t>
      </w:r>
    </w:p>
    <w:p w:rsidR="00000000" w:rsidDel="00000000" w:rsidP="00000000" w:rsidRDefault="00000000" w:rsidRPr="00000000" w14:paraId="00000041">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Constraint:</w:t>
      </w:r>
      <w:r w:rsidDel="00000000" w:rsidR="00000000" w:rsidRPr="00000000">
        <w:rPr>
          <w:rFonts w:ascii="Google Sans" w:cs="Google Sans" w:eastAsia="Google Sans" w:hAnsi="Google Sans"/>
          <w:color w:val="1f1f1f"/>
          <w:rtl w:val="0"/>
        </w:rPr>
        <w:t xml:space="preserve"> The requirement for modern TLS 1.3 implementations may limit support on deeply legacy or unpatched operating systems.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