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73BDD" w14:textId="77777777" w:rsidR="000421BC" w:rsidRDefault="00000000">
      <w:pPr>
        <w:jc w:val="center"/>
      </w:pPr>
      <w:r>
        <w:rPr>
          <w:b/>
          <w:sz w:val="32"/>
        </w:rPr>
        <w:t>Review of Group 4 DMP and Published Artefacts</w:t>
      </w:r>
      <w:r>
        <w:rPr>
          <w:b/>
          <w:sz w:val="32"/>
        </w:rPr>
        <w:br/>
      </w:r>
      <w:r>
        <w:rPr>
          <w:b/>
        </w:rPr>
        <w:t>Reviewing group: Group 2    |    Reviewed group: Group 4</w:t>
      </w:r>
      <w:r>
        <w:rPr>
          <w:b/>
        </w:rPr>
        <w:br/>
        <w:t>Reviewed project: Frost Day Prediction in Vienna</w:t>
      </w:r>
    </w:p>
    <w:p w14:paraId="0AA03E97" w14:textId="77777777" w:rsidR="000421BC" w:rsidRDefault="000421BC"/>
    <w:p w14:paraId="408DEE43" w14:textId="77777777" w:rsidR="000421BC" w:rsidRDefault="00000000">
      <w:pPr>
        <w:pStyle w:val="Heading1"/>
      </w:pPr>
      <w:r>
        <w:rPr>
          <w:color w:val="1F4E79"/>
        </w:rPr>
        <w:t>Audit Scope</w:t>
      </w:r>
    </w:p>
    <w:p w14:paraId="1FFA69A7" w14:textId="77777777" w:rsidR="000421BC" w:rsidRDefault="00000000">
      <w:r>
        <w:t>This review checks whether the artefacts described by Group 4 in their DMP were actually published and whether they are consistent with the submitted documentation. The audit covers the verification of the GitHub repository, Zenodo software deposit, TU Wien Research Data (TUWRD) records, DBRepo database entry, and the dual-format DMP records (PDF and maDMP).</w:t>
      </w:r>
    </w:p>
    <w:p w14:paraId="64B3FDB6" w14:textId="77777777" w:rsidR="000421BC" w:rsidRDefault="00000000">
      <w:pPr>
        <w:pStyle w:val="Heading2"/>
      </w:pPr>
      <w:r>
        <w:rPr>
          <w:color w:val="1F4E79"/>
        </w:rPr>
        <w:t>1) GitHub Repository Audit</w:t>
      </w:r>
    </w:p>
    <w:p w14:paraId="68192B59" w14:textId="77777777" w:rsidR="000421BC" w:rsidRDefault="00000000">
      <w:r>
        <w:t>The following table summarizes the structural and documentation checks performed on the project's GitHub repository based on the required project guidelines.</w:t>
      </w:r>
    </w:p>
    <w:tbl>
      <w:tblPr>
        <w:tblStyle w:val="TableGrid"/>
        <w:tblW w:w="0" w:type="auto"/>
        <w:tblLook w:val="04A0" w:firstRow="1" w:lastRow="0" w:firstColumn="1" w:lastColumn="0" w:noHBand="0" w:noVBand="1"/>
      </w:tblPr>
      <w:tblGrid>
        <w:gridCol w:w="2109"/>
        <w:gridCol w:w="6747"/>
      </w:tblGrid>
      <w:tr w:rsidR="000421BC" w14:paraId="356C9D75" w14:textId="77777777">
        <w:tc>
          <w:tcPr>
            <w:tcW w:w="2160" w:type="dxa"/>
          </w:tcPr>
          <w:p w14:paraId="28A0D551" w14:textId="77777777" w:rsidR="000421BC" w:rsidRDefault="00000000">
            <w:r>
              <w:rPr>
                <w:b/>
              </w:rPr>
              <w:t>Checkpoints</w:t>
            </w:r>
          </w:p>
        </w:tc>
        <w:tc>
          <w:tcPr>
            <w:tcW w:w="7200" w:type="dxa"/>
          </w:tcPr>
          <w:p w14:paraId="3D24520D" w14:textId="77777777" w:rsidR="000421BC" w:rsidRDefault="00000000">
            <w:r>
              <w:rPr>
                <w:b/>
              </w:rPr>
              <w:t>Status &amp; Findings</w:t>
            </w:r>
          </w:p>
        </w:tc>
      </w:tr>
      <w:tr w:rsidR="000421BC" w14:paraId="3F097F11" w14:textId="77777777">
        <w:tc>
          <w:tcPr>
            <w:tcW w:w="2160" w:type="dxa"/>
          </w:tcPr>
          <w:p w14:paraId="22E15817" w14:textId="77777777" w:rsidR="000421BC" w:rsidRDefault="00000000">
            <w:r>
              <w:rPr>
                <w:b/>
              </w:rPr>
              <w:t>Structure</w:t>
            </w:r>
          </w:p>
        </w:tc>
        <w:tc>
          <w:tcPr>
            <w:tcW w:w="7200" w:type="dxa"/>
          </w:tcPr>
          <w:p w14:paraId="39FD21E1" w14:textId="77777777" w:rsidR="000421BC" w:rsidRDefault="00000000">
            <w:r>
              <w:t>Overall, the chosen structure is fine, but several files are misplaced. The SQL scripts are located in the docs/ folder instead of src/. Similarly, fair4ml_frost-day-model.json is currently in outputs/ but belongs in either metadata/ or docs/, while the overview image sits incorrectly at the root.</w:t>
            </w:r>
          </w:p>
        </w:tc>
      </w:tr>
      <w:tr w:rsidR="000421BC" w14:paraId="5207CA84" w14:textId="77777777">
        <w:tc>
          <w:tcPr>
            <w:tcW w:w="2160" w:type="dxa"/>
          </w:tcPr>
          <w:p w14:paraId="6A5C9035" w14:textId="77777777" w:rsidR="000421BC" w:rsidRDefault="00000000">
            <w:r>
              <w:rPr>
                <w:b/>
              </w:rPr>
              <w:t>README</w:t>
            </w:r>
          </w:p>
        </w:tc>
        <w:tc>
          <w:tcPr>
            <w:tcW w:w="7200" w:type="dxa"/>
          </w:tcPr>
          <w:p w14:paraId="7C1523B5" w14:textId="77777777" w:rsidR="000421BC" w:rsidRDefault="00000000">
            <w:r>
              <w:t>All necessary parts can be found in the README. However, the OBS_TABLE_ID variable is missing from the environment variables table in the DBRepo REST API loading section. Furthermore, the metadata/ folder is completely omitted from the directory structure overview.</w:t>
            </w:r>
          </w:p>
        </w:tc>
      </w:tr>
      <w:tr w:rsidR="000421BC" w14:paraId="02FD3E9F" w14:textId="77777777">
        <w:tc>
          <w:tcPr>
            <w:tcW w:w="2160" w:type="dxa"/>
          </w:tcPr>
          <w:p w14:paraId="0FF11C39" w14:textId="77777777" w:rsidR="000421BC" w:rsidRDefault="00000000">
            <w:r>
              <w:rPr>
                <w:b/>
              </w:rPr>
              <w:t>Licences</w:t>
            </w:r>
          </w:p>
        </w:tc>
        <w:tc>
          <w:tcPr>
            <w:tcW w:w="7200" w:type="dxa"/>
          </w:tcPr>
          <w:p w14:paraId="2FD46A42" w14:textId="77777777" w:rsidR="000421BC" w:rsidRDefault="00000000">
            <w:r>
              <w:t>Reasonable licences were chosen for the model and outputs (CC BY 4.0). However, an incorrect licence was documented for the input dataset; the DBRepo link website mentions CC BY 4.0 instead of the proper CC0 1.0 Public Domain licence.</w:t>
            </w:r>
          </w:p>
        </w:tc>
      </w:tr>
      <w:tr w:rsidR="000421BC" w14:paraId="6F78D670" w14:textId="77777777">
        <w:tc>
          <w:tcPr>
            <w:tcW w:w="2160" w:type="dxa"/>
          </w:tcPr>
          <w:p w14:paraId="485808AB" w14:textId="77777777" w:rsidR="000421BC" w:rsidRDefault="00000000">
            <w:r>
              <w:rPr>
                <w:b/>
              </w:rPr>
              <w:t>File-Naming</w:t>
            </w:r>
          </w:p>
        </w:tc>
        <w:tc>
          <w:tcPr>
            <w:tcW w:w="7200" w:type="dxa"/>
          </w:tcPr>
          <w:p w14:paraId="745156B8" w14:textId="77777777" w:rsidR="000421BC" w:rsidRDefault="00000000">
            <w:r>
              <w:t>Standard file types are described in the README, but minor inconsistencies exist. The script 03_data_load.ipynb uses underscores instead of mandated hyphens. Additionally, step numbering in the src/ folder features duplicate indices and is logically out of chronological order.</w:t>
            </w:r>
          </w:p>
        </w:tc>
      </w:tr>
      <w:tr w:rsidR="000421BC" w14:paraId="1F7E8933" w14:textId="77777777">
        <w:tc>
          <w:tcPr>
            <w:tcW w:w="2160" w:type="dxa"/>
          </w:tcPr>
          <w:p w14:paraId="09C781CC" w14:textId="77777777" w:rsidR="000421BC" w:rsidRDefault="00000000">
            <w:r>
              <w:rPr>
                <w:b/>
              </w:rPr>
              <w:t>CITATION.cff</w:t>
            </w:r>
          </w:p>
        </w:tc>
        <w:tc>
          <w:tcPr>
            <w:tcW w:w="7200" w:type="dxa"/>
          </w:tcPr>
          <w:p w14:paraId="45CB335E" w14:textId="77777777" w:rsidR="000421BC" w:rsidRDefault="00000000">
            <w:r>
              <w:t>This file is complete, properly located at the root directory, and correctly formatted according to standard schemas.</w:t>
            </w:r>
          </w:p>
        </w:tc>
      </w:tr>
      <w:tr w:rsidR="000421BC" w14:paraId="509257D0" w14:textId="77777777">
        <w:tc>
          <w:tcPr>
            <w:tcW w:w="2160" w:type="dxa"/>
          </w:tcPr>
          <w:p w14:paraId="54621A28" w14:textId="77777777" w:rsidR="000421BC" w:rsidRDefault="00000000">
            <w:r>
              <w:rPr>
                <w:b/>
              </w:rPr>
              <w:t>Zenodo Badge</w:t>
            </w:r>
          </w:p>
        </w:tc>
        <w:tc>
          <w:tcPr>
            <w:tcW w:w="7200" w:type="dxa"/>
          </w:tcPr>
          <w:p w14:paraId="529245F3" w14:textId="77777777" w:rsidR="000421BC" w:rsidRDefault="00000000">
            <w:r>
              <w:t>The Zenodo badge is properly integrated into the README file and successfully points to the target software deposit.</w:t>
            </w:r>
          </w:p>
        </w:tc>
      </w:tr>
    </w:tbl>
    <w:p w14:paraId="193FACEB" w14:textId="77777777" w:rsidR="000421BC" w:rsidRDefault="000421BC"/>
    <w:p w14:paraId="3AD96B7E" w14:textId="77777777" w:rsidR="000421BC" w:rsidRDefault="00000000">
      <w:pPr>
        <w:pStyle w:val="ListBullet"/>
      </w:pPr>
      <w:r>
        <w:rPr>
          <w:b/>
        </w:rPr>
        <w:t xml:space="preserve">Zenodo Repository Deposit: </w:t>
      </w:r>
      <w:r>
        <w:t xml:space="preserve">The persistent identifier (DOI) successfully resolves to the archived version of the software, and the repository-level metadata fields are thoroughly populated. However, the deposit fails strict compliance checking on legal interoperability: it lacks one of the two anticipated distinct license documents and </w:t>
      </w:r>
      <w:r>
        <w:lastRenderedPageBreak/>
        <w:t>presents a licensing mismatch, erroneously registering a CC BY 4.0 license on Zenodo despite the native repository utilizing an MIT software license.</w:t>
      </w:r>
    </w:p>
    <w:p w14:paraId="41FD9C7C" w14:textId="77777777" w:rsidR="000421BC" w:rsidRDefault="00000000">
      <w:pPr>
        <w:pStyle w:val="ListBullet"/>
      </w:pPr>
      <w:r>
        <w:rPr>
          <w:b/>
        </w:rPr>
        <w:t xml:space="preserve">TU Wien Research Data (TUWRD) Deposits: </w:t>
      </w:r>
      <w:r>
        <w:t>Group 4 correctly decoupled the assets by drafting two distinct records—one for the trained Random Forest model (.joblib format) and another for the generated evaluation datasets. While resource typing (Model and Dataset) is correct, the records are currently unauditable. The assigned DOIs fail to resolve via public namespaces, and the internal relational cross-links between the two records are broken.</w:t>
      </w:r>
    </w:p>
    <w:p w14:paraId="39692779" w14:textId="77777777" w:rsidR="000421BC" w:rsidRDefault="00000000">
      <w:pPr>
        <w:pStyle w:val="ListBullet"/>
      </w:pPr>
      <w:r>
        <w:rPr>
          <w:b/>
        </w:rPr>
        <w:t xml:space="preserve">DBRepo Instance: </w:t>
      </w:r>
      <w:r>
        <w:t>The database container frost_day_prediction_in_vienna is publicly accessible with a structurally sound relational schema and operational custom views (e.g., vw_ml_complete_cases). However, the semantic enrichment layer is entirely absent in production; the mandatory Concept and Measurement Unit columns are completely blank within the live user interface, failing semantic validation.</w:t>
      </w:r>
    </w:p>
    <w:p w14:paraId="121C326A" w14:textId="77777777" w:rsidR="000421BC" w:rsidRDefault="00000000">
      <w:pPr>
        <w:pStyle w:val="ListBullet"/>
      </w:pPr>
      <w:r>
        <w:rPr>
          <w:b/>
        </w:rPr>
        <w:t xml:space="preserve">DMP Artifacts (PDF vs. maDMP): </w:t>
      </w:r>
      <w:r>
        <w:t>The project repository successfully dual-enrolls a human-readable PDF and a machine-actionable maDMP JSON file. They correctly segment their intents—the PDF provides rich narrative justification for Austrian Science Fund (FWF) compliance, while the JSON maps these as structured data blocks. However, the repository lacks any continuous integration (CI) logs or explicit validation receipts proving the JSON conforms to the official RDA maDMP Common Standard schema.</w:t>
      </w:r>
    </w:p>
    <w:p w14:paraId="5EC6BDBC" w14:textId="77777777" w:rsidR="000421BC" w:rsidRDefault="00000000">
      <w:r>
        <w:br w:type="page"/>
      </w:r>
    </w:p>
    <w:p w14:paraId="0969BC1A" w14:textId="77777777" w:rsidR="000421BC" w:rsidRDefault="00000000">
      <w:pPr>
        <w:jc w:val="center"/>
      </w:pPr>
      <w:r>
        <w:rPr>
          <w:b/>
        </w:rPr>
        <w:lastRenderedPageBreak/>
        <w:t>Table: Systematic Evaluation and Peer Ratings</w:t>
      </w:r>
    </w:p>
    <w:tbl>
      <w:tblPr>
        <w:tblStyle w:val="TableGrid"/>
        <w:tblW w:w="0" w:type="auto"/>
        <w:tblLook w:val="04A0" w:firstRow="1" w:lastRow="0" w:firstColumn="1" w:lastColumn="0" w:noHBand="0" w:noVBand="1"/>
      </w:tblPr>
      <w:tblGrid>
        <w:gridCol w:w="2603"/>
        <w:gridCol w:w="1321"/>
        <w:gridCol w:w="4932"/>
      </w:tblGrid>
      <w:tr w:rsidR="000421BC" w14:paraId="0DA4EA1D" w14:textId="77777777">
        <w:tc>
          <w:tcPr>
            <w:tcW w:w="2880" w:type="dxa"/>
          </w:tcPr>
          <w:p w14:paraId="3861ED04" w14:textId="77777777" w:rsidR="000421BC" w:rsidRDefault="00000000">
            <w:r>
              <w:rPr>
                <w:b/>
              </w:rPr>
              <w:t>Evaluation Criterion</w:t>
            </w:r>
          </w:p>
        </w:tc>
        <w:tc>
          <w:tcPr>
            <w:tcW w:w="1440" w:type="dxa"/>
          </w:tcPr>
          <w:p w14:paraId="1FCE7571" w14:textId="77777777" w:rsidR="000421BC" w:rsidRDefault="00000000">
            <w:r>
              <w:rPr>
                <w:b/>
              </w:rPr>
              <w:t>Rating</w:t>
            </w:r>
          </w:p>
        </w:tc>
        <w:tc>
          <w:tcPr>
            <w:tcW w:w="5760" w:type="dxa"/>
          </w:tcPr>
          <w:p w14:paraId="4E7C325D" w14:textId="77777777" w:rsidR="000421BC" w:rsidRDefault="00000000">
            <w:r>
              <w:rPr>
                <w:b/>
              </w:rPr>
              <w:t>Justification</w:t>
            </w:r>
          </w:p>
        </w:tc>
      </w:tr>
      <w:tr w:rsidR="000421BC" w14:paraId="1C39BC76" w14:textId="77777777">
        <w:tc>
          <w:tcPr>
            <w:tcW w:w="2880" w:type="dxa"/>
          </w:tcPr>
          <w:p w14:paraId="0AB6033A" w14:textId="77777777" w:rsidR="000421BC" w:rsidRDefault="00000000">
            <w:r>
              <w:t>(a) Completeness of FWF DMP Fields</w:t>
            </w:r>
          </w:p>
        </w:tc>
        <w:tc>
          <w:tcPr>
            <w:tcW w:w="1440" w:type="dxa"/>
          </w:tcPr>
          <w:p w14:paraId="03A66D63" w14:textId="77777777" w:rsidR="000421BC" w:rsidRDefault="00000000">
            <w:pPr>
              <w:jc w:val="center"/>
            </w:pPr>
            <w:r>
              <w:rPr>
                <w:b/>
              </w:rPr>
              <w:t>3 / 3</w:t>
            </w:r>
          </w:p>
        </w:tc>
        <w:tc>
          <w:tcPr>
            <w:tcW w:w="5760" w:type="dxa"/>
          </w:tcPr>
          <w:p w14:paraId="22BF33FA" w14:textId="77777777" w:rsidR="000421BC" w:rsidRDefault="00000000">
            <w:r>
              <w:t>Exhaustive coverage. The document structurally addresses all administrative and technical headers mandated by the FWF template (data responsibility, reuse, QA, security, and legal/ethical bounds). No structural omissions detected.</w:t>
            </w:r>
          </w:p>
        </w:tc>
      </w:tr>
      <w:tr w:rsidR="000421BC" w14:paraId="2CE0FBBA" w14:textId="77777777">
        <w:tc>
          <w:tcPr>
            <w:tcW w:w="2880" w:type="dxa"/>
          </w:tcPr>
          <w:p w14:paraId="6DFFCF02" w14:textId="77777777" w:rsidR="000421BC" w:rsidRDefault="00000000">
            <w:r>
              <w:t>(b) Quality &amp; Specificity of Data Descriptions</w:t>
            </w:r>
          </w:p>
        </w:tc>
        <w:tc>
          <w:tcPr>
            <w:tcW w:w="1440" w:type="dxa"/>
          </w:tcPr>
          <w:p w14:paraId="09B57F42" w14:textId="77777777" w:rsidR="000421BC" w:rsidRDefault="00000000">
            <w:pPr>
              <w:jc w:val="center"/>
            </w:pPr>
            <w:r>
              <w:rPr>
                <w:b/>
              </w:rPr>
              <w:t>3 / 3</w:t>
            </w:r>
          </w:p>
        </w:tc>
        <w:tc>
          <w:tcPr>
            <w:tcW w:w="5760" w:type="dxa"/>
          </w:tcPr>
          <w:p w14:paraId="12DFC04D" w14:textId="77777777" w:rsidR="000421BC" w:rsidRDefault="00000000">
            <w:r>
              <w:t>Highly granular asset profiling. It explicitly details the Random Forest architecture and evaluation arrays (CSV/PNG), accurately documents external provenance (GeoSphere Austria), and logs the exact scale of the live DBRepo instance (daily_observation table at 8,766 rows).</w:t>
            </w:r>
          </w:p>
        </w:tc>
      </w:tr>
      <w:tr w:rsidR="000421BC" w14:paraId="61692519" w14:textId="77777777">
        <w:tc>
          <w:tcPr>
            <w:tcW w:w="2880" w:type="dxa"/>
          </w:tcPr>
          <w:p w14:paraId="4E25D96C" w14:textId="77777777" w:rsidR="000421BC" w:rsidRDefault="00000000">
            <w:r>
              <w:t>(c) Correctness of Metadata Standards</w:t>
            </w:r>
          </w:p>
        </w:tc>
        <w:tc>
          <w:tcPr>
            <w:tcW w:w="1440" w:type="dxa"/>
          </w:tcPr>
          <w:p w14:paraId="1D12EFAF" w14:textId="77777777" w:rsidR="000421BC" w:rsidRDefault="00000000">
            <w:pPr>
              <w:jc w:val="center"/>
            </w:pPr>
            <w:r>
              <w:rPr>
                <w:b/>
              </w:rPr>
              <w:t>3 / 3</w:t>
            </w:r>
          </w:p>
        </w:tc>
        <w:tc>
          <w:tcPr>
            <w:tcW w:w="5760" w:type="dxa"/>
          </w:tcPr>
          <w:p w14:paraId="7A81D22E" w14:textId="77777777" w:rsidR="000421BC" w:rsidRDefault="00000000">
            <w:r>
              <w:t>Excellent multi-profile metadata strategy (RO-Crate, CodeMeta, FAIR4ML, Croissant, and Model Card). Notably, the RO-Crate metadata was programmatically validated using rocrate-validator==0.9.0 against the ro-crate-1.1 profile, passing all 16 core and 38 conditional checks. Minor blemish: Integration with non-resolving TUWRD DOIs.</w:t>
            </w:r>
          </w:p>
        </w:tc>
      </w:tr>
      <w:tr w:rsidR="000421BC" w14:paraId="57058C66" w14:textId="77777777">
        <w:tc>
          <w:tcPr>
            <w:tcW w:w="2880" w:type="dxa"/>
          </w:tcPr>
          <w:p w14:paraId="19C109A0" w14:textId="77777777" w:rsidR="000421BC" w:rsidRDefault="00000000">
            <w:r>
              <w:t>(d) maDMP Technical Validity</w:t>
            </w:r>
          </w:p>
        </w:tc>
        <w:tc>
          <w:tcPr>
            <w:tcW w:w="1440" w:type="dxa"/>
          </w:tcPr>
          <w:p w14:paraId="1D9AF4ED" w14:textId="77777777" w:rsidR="000421BC" w:rsidRDefault="00000000">
            <w:pPr>
              <w:jc w:val="center"/>
            </w:pPr>
            <w:r>
              <w:rPr>
                <w:b/>
              </w:rPr>
              <w:t>2 / 3</w:t>
            </w:r>
          </w:p>
        </w:tc>
        <w:tc>
          <w:tcPr>
            <w:tcW w:w="5760" w:type="dxa"/>
          </w:tcPr>
          <w:p w14:paraId="5CB2EB9B" w14:textId="77777777" w:rsidR="000421BC" w:rsidRDefault="00000000">
            <w:r>
              <w:t>Structural formatting is present (schema blocks for contributors, datasets, distributions), but the team fell short of proving execution. The validation logs exclusively target the RO-Crate, leaving the maDMP's literal compliance with the RDA Common Standard unverified.</w:t>
            </w:r>
          </w:p>
        </w:tc>
      </w:tr>
      <w:tr w:rsidR="000421BC" w14:paraId="1E971E14" w14:textId="77777777">
        <w:tc>
          <w:tcPr>
            <w:tcW w:w="2880" w:type="dxa"/>
          </w:tcPr>
          <w:p w14:paraId="0AE7FEE6" w14:textId="77777777" w:rsidR="000421BC" w:rsidRDefault="00000000">
            <w:r>
              <w:t>(e) Consistency: Text vs. Artifacts</w:t>
            </w:r>
          </w:p>
        </w:tc>
        <w:tc>
          <w:tcPr>
            <w:tcW w:w="1440" w:type="dxa"/>
          </w:tcPr>
          <w:p w14:paraId="012A68DE" w14:textId="77777777" w:rsidR="000421BC" w:rsidRDefault="00000000">
            <w:pPr>
              <w:jc w:val="center"/>
            </w:pPr>
            <w:r>
              <w:rPr>
                <w:b/>
              </w:rPr>
              <w:t>2 / 3</w:t>
            </w:r>
          </w:p>
        </w:tc>
        <w:tc>
          <w:tcPr>
            <w:tcW w:w="5760" w:type="dxa"/>
          </w:tcPr>
          <w:p w14:paraId="5305BFAC" w14:textId="77777777" w:rsidR="000421BC" w:rsidRDefault="00000000">
            <w:r>
              <w:t>A classic discrepancy between “documentation claims” and “production realities.” While the baseline infrastructure is up, the text claims semantic mapping and active PIDs, while the live artifacts exhibit unresolving DOIs, mismatched licenses, and unmapped database columns.</w:t>
            </w:r>
          </w:p>
        </w:tc>
      </w:tr>
    </w:tbl>
    <w:p w14:paraId="2669961F" w14:textId="77777777" w:rsidR="00BA53F8" w:rsidRDefault="00BA53F8"/>
    <w:sectPr w:rsidR="00BA53F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7275982">
    <w:abstractNumId w:val="8"/>
  </w:num>
  <w:num w:numId="2" w16cid:durableId="953756788">
    <w:abstractNumId w:val="6"/>
  </w:num>
  <w:num w:numId="3" w16cid:durableId="873812079">
    <w:abstractNumId w:val="5"/>
  </w:num>
  <w:num w:numId="4" w16cid:durableId="629751442">
    <w:abstractNumId w:val="4"/>
  </w:num>
  <w:num w:numId="5" w16cid:durableId="559220003">
    <w:abstractNumId w:val="7"/>
  </w:num>
  <w:num w:numId="6" w16cid:durableId="54203934">
    <w:abstractNumId w:val="3"/>
  </w:num>
  <w:num w:numId="7" w16cid:durableId="1623611620">
    <w:abstractNumId w:val="2"/>
  </w:num>
  <w:num w:numId="8" w16cid:durableId="1515724352">
    <w:abstractNumId w:val="1"/>
  </w:num>
  <w:num w:numId="9" w16cid:durableId="216163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1BC"/>
    <w:rsid w:val="0006063C"/>
    <w:rsid w:val="0015074B"/>
    <w:rsid w:val="0029639D"/>
    <w:rsid w:val="00326F90"/>
    <w:rsid w:val="005645E9"/>
    <w:rsid w:val="008E7E23"/>
    <w:rsid w:val="00AA1D8D"/>
    <w:rsid w:val="00B47730"/>
    <w:rsid w:val="00BA53F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101E6"/>
  <w14:defaultImageDpi w14:val="300"/>
  <w15:docId w15:val="{E2A477E4-6474-6D48-9172-458193F0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Kiassa, Samy</cp:lastModifiedBy>
  <cp:revision>2</cp:revision>
  <dcterms:created xsi:type="dcterms:W3CDTF">2026-06-22T20:54:00Z</dcterms:created>
  <dcterms:modified xsi:type="dcterms:W3CDTF">2026-06-22T20:54:00Z</dcterms:modified>
  <cp:category/>
</cp:coreProperties>
</file>