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948"/>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Pr>
        <w:tc>
          <w:tcPr>
            <w:tcBorders/>
          </w:tcPr>
          <w:p>
            <w:pPr>
              <w:spacing w:after="80"/>
            </w:pPr>
            <w:r/>
            <w:r>
              <w:rPr>
                <w:rFonts w:ascii="Arial" w:hAnsi="Arial"/>
                <w:b/>
                <w:sz w:val="26"/>
              </w:rPr>
              <w:t>Protocolo individual — Unidad 2: Momentos de Aprendizaje Metodología a Distancia</w:t>
            </w:r>
          </w:p>
          <w:p>
            <w:pPr>
              <w:spacing w:after="40"/>
            </w:pPr>
            <w:r>
              <w:rPr>
                <w:rFonts w:ascii="Arial" w:hAnsi="Arial"/>
                <w:b/>
                <w:sz w:val="22"/>
              </w:rPr>
              <w:t xml:space="preserve">Asignatura: </w:t>
            </w:r>
            <w:r>
              <w:rPr>
                <w:rFonts w:ascii="Arial" w:hAnsi="Arial"/>
                <w:sz w:val="22"/>
              </w:rPr>
              <w:t>Metodologías y Estrategias de la Educación a Distancia (MEAD)</w:t>
            </w:r>
          </w:p>
          <w:p>
            <w:pPr>
              <w:spacing w:after="40"/>
            </w:pPr>
            <w:r>
              <w:rPr>
                <w:rFonts w:ascii="Arial" w:hAnsi="Arial"/>
                <w:b/>
                <w:sz w:val="22"/>
              </w:rPr>
              <w:t xml:space="preserve">Nombre: </w:t>
            </w:r>
            <w:r>
              <w:rPr>
                <w:rFonts w:ascii="Arial" w:hAnsi="Arial"/>
                <w:sz w:val="22"/>
              </w:rPr>
              <w:t>Esteban David Marrugo Jassir</w:t>
            </w:r>
          </w:p>
          <w:p>
            <w:pPr>
              <w:spacing w:after="80"/>
            </w:pPr>
            <w:r>
              <w:rPr>
                <w:rFonts w:ascii="Arial" w:hAnsi="Arial"/>
                <w:b/>
                <w:sz w:val="22"/>
              </w:rPr>
              <w:t xml:space="preserve">Programa: </w:t>
            </w:r>
            <w:r>
              <w:rPr>
                <w:rFonts w:ascii="Arial" w:hAnsi="Arial"/>
                <w:sz w:val="22"/>
              </w:rPr>
              <w:t>Ingeniería de Software</w:t>
              <w:br/>
            </w:r>
            <w:r>
              <w:rPr>
                <w:rFonts w:ascii="Arial" w:hAnsi="Arial"/>
                <w:b/>
                <w:sz w:val="22"/>
              </w:rPr>
              <w:t xml:space="preserve">Código: </w:t>
            </w:r>
            <w:r>
              <w:rPr>
                <w:rFonts w:ascii="Arial" w:hAnsi="Arial"/>
                <w:sz w:val="22"/>
              </w:rPr>
              <w:t>7502620036</w:t>
              <w:br/>
            </w:r>
            <w:r>
              <w:rPr>
                <w:rFonts w:ascii="Arial" w:hAnsi="Arial"/>
                <w:b/>
                <w:sz w:val="22"/>
              </w:rPr>
              <w:t xml:space="preserve">Semestre: </w:t>
            </w:r>
            <w:r>
              <w:rPr>
                <w:rFonts w:ascii="Arial" w:hAnsi="Arial"/>
                <w:sz w:val="22"/>
              </w:rPr>
              <w:t>1</w:t>
            </w:r>
          </w:p>
        </w:tc>
      </w:tr>
      <w:tr>
        <w:trPr>
          <w:cantSplit w:val="false"/>
        </w:trPr>
        <w:tc>
          <w:tcPr>
            <w:tcBorders/>
          </w:tcPr>
          <w:p>
            <w:pPr>
              <w:spacing w:after="80"/>
            </w:pPr>
            <w:r/>
            <w:r>
              <w:rPr>
                <w:rFonts w:ascii="Arial" w:hAnsi="Arial"/>
                <w:b/>
                <w:sz w:val="22"/>
              </w:rPr>
              <w:t>Descripción del texto o actividad a realizar:</w:t>
            </w:r>
          </w:p>
          <w:p>
            <w:pPr>
              <w:spacing w:after="80" w:line="276" w:lineRule="auto"/>
            </w:pPr>
            <w:r>
              <w:rPr>
                <w:rFonts w:ascii="Arial" w:hAnsi="Arial"/>
                <w:sz w:val="21"/>
              </w:rPr>
              <w:t>Lectura analítica e interpretación crítica del Módulo de la Unidad 2, centrado en «Los Tres Momentos del Aprendizaje en la Metodología a Distancia», su secuencia dialéctica de co-validación del conocimiento, la gestión autónoma del tiempo y el desarrollo de habilidades metacognitivas en la Universidad de Cartagena.</w:t>
            </w:r>
          </w:p>
        </w:tc>
      </w:tr>
      <w:tr>
        <w:trPr>
          <w:cantSplit w:val="false"/>
        </w:trPr>
        <w:tc>
          <w:tcPr>
            <w:tcBorders/>
          </w:tcPr>
          <w:p>
            <w:pPr>
              <w:spacing w:after="80"/>
            </w:pPr>
            <w:r/>
            <w:r>
              <w:rPr>
                <w:rFonts w:ascii="Arial" w:hAnsi="Arial"/>
                <w:b/>
                <w:sz w:val="22"/>
              </w:rPr>
              <w:t>Palabras claves:</w:t>
            </w:r>
          </w:p>
          <w:p>
            <w:pPr>
              <w:spacing w:after="80" w:line="276" w:lineRule="auto"/>
            </w:pPr>
            <w:r>
              <w:rPr>
                <w:rFonts w:ascii="Arial" w:hAnsi="Arial"/>
                <w:sz w:val="21"/>
              </w:rPr>
              <w:t>Momentos del aprendizaje, Amaury Lora Sfer, Ciclos tutoriales, Co-validación dialéctica, Aprendizaje autónomo en red, Grupos colaborativos CIPAS, Síntesis sucesivas, Estrategias metacognitivas, Autorregulación del tiempo, Créditos académicos.</w:t>
            </w:r>
          </w:p>
        </w:tc>
      </w:tr>
      <w:tr>
        <w:trPr>
          <w:cantSplit w:val="false"/>
        </w:trPr>
        <w:tc>
          <w:tcPr>
            <w:tcBorders/>
          </w:tcPr>
          <w:p>
            <w:pPr>
              <w:spacing w:after="80"/>
            </w:pPr>
            <w:r/>
            <w:r>
              <w:rPr>
                <w:rFonts w:ascii="Arial" w:hAnsi="Arial"/>
                <w:b/>
                <w:sz w:val="22"/>
              </w:rPr>
              <w:t>Objetivos de las lecturas o actividad a realizar:</w:t>
            </w:r>
          </w:p>
          <w:p>
            <w:pPr>
              <w:spacing w:after="60"/>
              <w:ind w:left="288"/>
            </w:pPr>
            <w:r>
              <w:rPr>
                <w:rFonts w:ascii="Arial" w:hAnsi="Arial"/>
                <w:b/>
                <w:sz w:val="21"/>
              </w:rPr>
              <w:t xml:space="preserve">• </w:t>
            </w:r>
            <w:r>
              <w:rPr>
                <w:rFonts w:ascii="Arial" w:hAnsi="Arial"/>
                <w:sz w:val="21"/>
              </w:rPr>
              <w:t>Comprender la estructura y articulación de los tres momentos del aprendizaje en la educación a distancia mediatizada como niveles ascendentes de validación del saber.</w:t>
            </w:r>
          </w:p>
          <w:p>
            <w:pPr>
              <w:spacing w:after="60"/>
              <w:ind w:left="288"/>
            </w:pPr>
            <w:r>
              <w:rPr>
                <w:rFonts w:ascii="Arial" w:hAnsi="Arial"/>
                <w:b/>
                <w:sz w:val="21"/>
              </w:rPr>
              <w:t xml:space="preserve">• </w:t>
            </w:r>
            <w:r>
              <w:rPr>
                <w:rFonts w:ascii="Arial" w:hAnsi="Arial"/>
                <w:sz w:val="21"/>
              </w:rPr>
              <w:t>Analizar el carácter dialéctico del proceso formativo, reconociendo que el trabajo colaborativo solo es productivo cuando viene precedido de un compromiso individual riguroso.</w:t>
            </w:r>
          </w:p>
          <w:p>
            <w:pPr>
              <w:spacing w:after="60"/>
              <w:ind w:left="288"/>
            </w:pPr>
            <w:r>
              <w:rPr>
                <w:rFonts w:ascii="Arial" w:hAnsi="Arial"/>
                <w:b/>
                <w:sz w:val="21"/>
              </w:rPr>
              <w:t xml:space="preserve">• </w:t>
            </w:r>
            <w:r>
              <w:rPr>
                <w:rFonts w:ascii="Arial" w:hAnsi="Arial"/>
                <w:b/>
                <w:sz w:val="21"/>
              </w:rPr>
              <w:t>Identificar las condiciones indispensables para el autoaprendizaje exitoso:</w:t>
            </w:r>
            <w:r>
              <w:rPr>
                <w:rFonts w:ascii="Arial" w:hAnsi="Arial"/>
                <w:sz w:val="21"/>
              </w:rPr>
              <w:t xml:space="preserve"> manejo eficiente del tiempo de acuerdo con los créditos académicos y dominio de estrategias cognitivas y metacognitivas.</w:t>
            </w:r>
          </w:p>
          <w:p>
            <w:pPr>
              <w:spacing w:after="60"/>
              <w:ind w:left="288"/>
            </w:pPr>
            <w:r>
              <w:rPr>
                <w:rFonts w:ascii="Arial" w:hAnsi="Arial"/>
                <w:b/>
                <w:sz w:val="21"/>
              </w:rPr>
              <w:t xml:space="preserve">• </w:t>
            </w:r>
            <w:r>
              <w:rPr>
                <w:rFonts w:ascii="Arial" w:hAnsi="Arial"/>
                <w:sz w:val="21"/>
              </w:rPr>
              <w:t>Reconocer el papel de las tutorías de los sábados no como clases magistrales convencionales, sino como espacios de co-validación y síntesis cualificada con el tutor mediador.</w:t>
            </w:r>
          </w:p>
        </w:tc>
      </w:tr>
      <w:tr>
        <w:trPr>
          <w:cantSplit w:val="false"/>
        </w:trPr>
        <w:tc>
          <w:tcPr>
            <w:tcBorders/>
          </w:tcPr>
          <w:p>
            <w:pPr>
              <w:spacing w:after="80"/>
            </w:pPr>
            <w:r/>
            <w:r>
              <w:rPr>
                <w:rFonts w:ascii="Arial" w:hAnsi="Arial"/>
                <w:b/>
                <w:sz w:val="22"/>
              </w:rPr>
              <w:t>Conceptos claves y definiciones:</w:t>
            </w:r>
          </w:p>
          <w:p>
            <w:pPr>
              <w:spacing w:after="60"/>
              <w:ind w:left="288"/>
            </w:pPr>
            <w:r>
              <w:rPr>
                <w:rFonts w:ascii="Arial" w:hAnsi="Arial"/>
                <w:b/>
                <w:sz w:val="21"/>
              </w:rPr>
              <w:t xml:space="preserve">• </w:t>
            </w:r>
            <w:r>
              <w:rPr>
                <w:rFonts w:ascii="Arial" w:hAnsi="Arial"/>
                <w:b/>
                <w:sz w:val="21"/>
              </w:rPr>
              <w:t>Momentos del aprendizaje:</w:t>
            </w:r>
            <w:r>
              <w:rPr>
                <w:rFonts w:ascii="Arial" w:hAnsi="Arial"/>
                <w:sz w:val="21"/>
              </w:rPr>
              <w:t xml:space="preserve"> Secuencia pedagógica estructurada que articula tres fases continuas e interdependientes (estudio individual autónomo, discusión colaborativa en CIPAS y tutoría sincrónica o presencial), diseñada para garantizar niveles crecientes de profundidad y calidad en el aprendizaje.</w:t>
            </w:r>
          </w:p>
          <w:p>
            <w:pPr>
              <w:spacing w:after="60"/>
              <w:ind w:left="288"/>
            </w:pPr>
            <w:r>
              <w:rPr>
                <w:rFonts w:ascii="Arial" w:hAnsi="Arial"/>
                <w:b/>
                <w:sz w:val="21"/>
              </w:rPr>
              <w:t xml:space="preserve">• </w:t>
            </w:r>
            <w:r>
              <w:rPr>
                <w:rFonts w:ascii="Arial" w:hAnsi="Arial"/>
                <w:b/>
                <w:sz w:val="21"/>
              </w:rPr>
              <w:t>Co-validación del conocimiento (Lora Sfer, 2014):</w:t>
            </w:r>
            <w:r>
              <w:rPr>
                <w:rFonts w:ascii="Arial" w:hAnsi="Arial"/>
                <w:sz w:val="21"/>
              </w:rPr>
              <w:t xml:space="preserve"> Dinámica formativa en la que el saber construido por cada estudiante se somete a revisión, contraste y enriquecimiento progresivo, primero en el grupo pequeño de pares (CIPAS) y después ante el tutor y el grupo general durante la tutoría.</w:t>
            </w:r>
          </w:p>
          <w:p>
            <w:pPr>
              <w:spacing w:after="60"/>
              <w:ind w:left="288"/>
            </w:pPr>
            <w:r>
              <w:rPr>
                <w:rFonts w:ascii="Arial" w:hAnsi="Arial"/>
                <w:b/>
                <w:sz w:val="21"/>
              </w:rPr>
              <w:t xml:space="preserve">• </w:t>
            </w:r>
            <w:r>
              <w:rPr>
                <w:rFonts w:ascii="Arial" w:hAnsi="Arial"/>
                <w:b/>
                <w:sz w:val="21"/>
              </w:rPr>
              <w:t>Carácter dialéctico del aprendizaje:</w:t>
            </w:r>
            <w:r>
              <w:rPr>
                <w:rFonts w:ascii="Arial" w:hAnsi="Arial"/>
                <w:sz w:val="21"/>
              </w:rPr>
              <w:t xml:space="preserve"> Principio que establece que los tres momentos no son compartimentos estancos ni etapas desconectadas; en cada una de ellas están presentes las demás, pues el trabajo individual se realiza en red y el trabajo grupal exige la responsabilidad de cada integrante.</w:t>
            </w:r>
          </w:p>
          <w:p>
            <w:pPr>
              <w:spacing w:after="60"/>
              <w:ind w:left="288"/>
            </w:pPr>
            <w:r>
              <w:rPr>
                <w:rFonts w:ascii="Arial" w:hAnsi="Arial"/>
                <w:b/>
                <w:sz w:val="21"/>
              </w:rPr>
              <w:t xml:space="preserve">• </w:t>
            </w:r>
            <w:r>
              <w:rPr>
                <w:rFonts w:ascii="Arial" w:hAnsi="Arial"/>
                <w:b/>
                <w:sz w:val="21"/>
              </w:rPr>
              <w:t>Estrategias metacognitivas:</w:t>
            </w:r>
            <w:r>
              <w:rPr>
                <w:rFonts w:ascii="Arial" w:hAnsi="Arial"/>
                <w:sz w:val="21"/>
              </w:rPr>
              <w:t xml:space="preserve"> Habilidades que permiten al aprendiente monitorear, regular y evaluar su propio proceso de comprensión (saber cómo aprende, identificar vacíos conceptuales y ajustar métodos de estudio).</w:t>
            </w:r>
          </w:p>
          <w:p>
            <w:pPr>
              <w:spacing w:after="60"/>
              <w:ind w:left="288"/>
            </w:pPr>
            <w:r>
              <w:rPr>
                <w:rFonts w:ascii="Arial" w:hAnsi="Arial"/>
                <w:b/>
                <w:sz w:val="21"/>
              </w:rPr>
              <w:t xml:space="preserve">• </w:t>
            </w:r>
            <w:r>
              <w:rPr>
                <w:rFonts w:ascii="Arial" w:hAnsi="Arial"/>
                <w:b/>
                <w:sz w:val="21"/>
              </w:rPr>
              <w:t>Autorregulación del tiempo:</w:t>
            </w:r>
            <w:r>
              <w:rPr>
                <w:rFonts w:ascii="Arial" w:hAnsi="Arial"/>
                <w:sz w:val="21"/>
              </w:rPr>
              <w:t xml:space="preserve"> Capacidad del estudiante para estructurar un cronograma de trabajo no negociable basado en el volumen de créditos de cada asignatura, asegurando dedicación semanal continua sin depender de recordatorios externos.</w:t>
            </w:r>
          </w:p>
        </w:tc>
      </w:tr>
      <w:tr>
        <w:trPr>
          <w:cantSplit w:val="false"/>
          <w:trHeight w:val="368"/>
        </w:trPr>
        <w:tc>
          <w:tcPr>
            <w:tcBorders/>
          </w:tcPr>
          <w:p>
            <w:pPr>
              <w:spacing w:after="80"/>
            </w:pPr>
            <w:r/>
            <w:r>
              <w:rPr>
                <w:rFonts w:ascii="Arial" w:hAnsi="Arial"/>
                <w:b/>
                <w:sz w:val="22"/>
              </w:rPr>
              <w:t>Resumen de la(as) lecturas:</w:t>
            </w:r>
          </w:p>
          <w:p>
            <w:pPr>
              <w:spacing w:after="80" w:line="276" w:lineRule="auto"/>
            </w:pPr>
            <w:r>
              <w:rPr>
                <w:rFonts w:ascii="Arial" w:hAnsi="Arial"/>
                <w:sz w:val="21"/>
              </w:rPr>
              <w:t>El módulo de la Unidad 2 profundiza en el engranaje metodológico que da sentido a la educación a distancia en la Universidad de Cartagena. Aprender en esta modalidad no consiste en sentarse a recibir contenidos de manera pasiva; es un proceso continuo de construcción y validación de conocimientos que se despliega a lo largo de los ciclos tutoriales que transcurren entre un sábado de tutoría y el siguiente.</w:t>
            </w:r>
          </w:p>
          <w:p>
            <w:pPr>
              <w:spacing w:after="80" w:line="276" w:lineRule="auto"/>
            </w:pPr>
            <w:r>
              <w:rPr>
                <w:rFonts w:ascii="Arial" w:hAnsi="Arial"/>
                <w:sz w:val="21"/>
              </w:rPr>
              <w:t>Como explica el docente e investigador Amaury Lora Sfer (2014), este proceso abarca tres momentos fundamentales que operan como una espiral ascendente. El primer momento corresponde al estudio individual. No se trata de un aislamiento solitario, sino de un trabajo individual en red donde el estudiante lee los módulos, consulta fuentes científicas, toma notas y elabora su protocolo individual. El segundo momento ocurre en los grupos colaborativos (CIPAS), donde contrastamos nuestras ideas, aclaramos dudas con los compañeros y redactamos el protocolo colaborativo. El autor subraya una premisa tajante: el trabajo en equipo fracasa por completo si no está precedido de un estudio individual serio. La colaboración no reemplaza la lectura personal; la complementa.</w:t>
            </w:r>
          </w:p>
          <w:p>
            <w:pPr>
              <w:spacing w:after="80" w:line="276" w:lineRule="auto"/>
            </w:pPr>
            <w:r>
              <w:rPr>
                <w:rFonts w:ascii="Arial" w:hAnsi="Arial"/>
                <w:sz w:val="21"/>
              </w:rPr>
              <w:t>El tercer momento se concreta en la tutoría con el grupo amplio y el profesor. Aquí el tutor no viene a dictar una clase tradicional desde cero, sino a liderar la co-validación de lo trabajado en las etapas previas. A través de sucesivas síntesis y debates, las dudas complejas se resuelven y el conocimiento queda formalmente validado. La lectura concluye enfatizando que la flexibilidad horaria de la educación a distancia no hace milagros por sí sola: sin una planificación estricta del tiempo acorde a los créditos académicos, motivación intrínseca y habilidades lectoescritoras bien desarrolladas, es imposible alcanzar el éxito universitario.</w:t>
            </w:r>
          </w:p>
        </w:tc>
      </w:tr>
      <w:tr>
        <w:trPr>
          <w:cantSplit w:val="false"/>
          <w:trHeight w:val="426"/>
        </w:trPr>
        <w:tc>
          <w:tcPr>
            <w:tcBorders/>
          </w:tcPr>
          <w:p>
            <w:pPr>
              <w:spacing w:after="80"/>
            </w:pPr>
            <w:r/>
            <w:r>
              <w:rPr>
                <w:rFonts w:ascii="Arial" w:hAnsi="Arial"/>
                <w:b/>
                <w:sz w:val="22"/>
              </w:rPr>
              <w:t>Metodología de trabajo:</w:t>
            </w:r>
          </w:p>
          <w:p>
            <w:pPr>
              <w:spacing w:after="80" w:line="276" w:lineRule="auto"/>
            </w:pPr>
            <w:r>
              <w:rPr>
                <w:rFonts w:ascii="Arial" w:hAnsi="Arial"/>
                <w:sz w:val="21"/>
              </w:rPr>
              <w:t>Para elaborar este protocolo, comencé descargando el archivo digital del Módulo de la Unidad 2 desde la plataforma SIMA. Realicé una primera lectura exploratoria y luego una lectura crítica detallada, extrayendo las citas de Amaury Lora Sfer y los conceptos nucleares sobre la dinámica tutorial. Registré los puntos clave en mi base de notas en Obsidian, organizando un esquema conceptual sobre la relación entre el trabajo individual, el CIPAS y la tutoría presencial. Además, contrasté estos principios con mi propia rutina semanal en Linux y las herramientas que utilizo para organizar entregas y cronogramas, asegurándome de plasmar reflexiones reales y no respuestas mecánicas.</w:t>
            </w:r>
          </w:p>
        </w:tc>
      </w:tr>
      <w:tr>
        <w:trPr>
          <w:cantSplit w:val="false"/>
        </w:trPr>
        <w:tc>
          <w:tcPr>
            <w:tcBorders/>
          </w:tcPr>
          <w:p>
            <w:pPr>
              <w:spacing w:after="80"/>
            </w:pPr>
            <w:r/>
            <w:r>
              <w:rPr>
                <w:rFonts w:ascii="Arial" w:hAnsi="Arial"/>
                <w:b/>
                <w:sz w:val="22"/>
              </w:rPr>
              <w:t>Conclusiones de la lectura o actividad:</w:t>
            </w:r>
          </w:p>
          <w:p>
            <w:pPr>
              <w:spacing w:after="80" w:line="276" w:lineRule="auto"/>
            </w:pPr>
            <w:r>
              <w:rPr>
                <w:rFonts w:ascii="Arial" w:hAnsi="Arial"/>
                <w:sz w:val="21"/>
              </w:rPr>
              <w:t>Esta lectura me dejó una certeza muy clara: la metodología de los tres momentos es la columna vertebral de nuestra carrera. Si uno descuida el primer momento (el estudio autónomo semanal), llega desarmado a la reunión del CIPAS y termina convirtiendo el trabajo colaborativo en una carga para los demás o en un simple reparto de partes sin sentido. La verdadera ganancia del modelo a distancia está en la co-validación: contrastar lo que entendí por mi cuenta frente al criterio de mis compañeros de equipo y la experiencia del tutor. Entendí además que la flexibilidad de horarios no es sinónimo de tiempo libre desordenado; requiere fijar bloques inamovibles de estudio en la agenda diaria para cumplir con las exigencias de cada crédito académico.</w:t>
            </w:r>
          </w:p>
        </w:tc>
      </w:tr>
      <w:tr>
        <w:trPr>
          <w:cantSplit w:val="false"/>
        </w:trPr>
        <w:tc>
          <w:tcPr>
            <w:tcBorders/>
          </w:tcPr>
          <w:p>
            <w:pPr>
              <w:spacing w:after="80"/>
            </w:pPr>
            <w:r/>
            <w:r>
              <w:rPr>
                <w:rFonts w:ascii="Arial" w:hAnsi="Arial"/>
                <w:b/>
                <w:sz w:val="22"/>
              </w:rPr>
              <w:t>Discusiones y recomendaciones:</w:t>
            </w:r>
          </w:p>
          <w:p>
            <w:pPr>
              <w:spacing w:after="80" w:line="276" w:lineRule="auto"/>
            </w:pPr>
            <w:r>
              <w:rPr>
                <w:rFonts w:ascii="Arial" w:hAnsi="Arial"/>
                <w:sz w:val="21"/>
              </w:rPr>
              <w:t>En la práctica cotidiana, uno de los desafíos más frecuentes es garantizar que todos los miembros del CIPAS lleguen al segundo momento con la lectura individual completada y el protocolo individual elaborado, ya que la asimetría en la preparación previa debilita la discusión grupal y dificulta la redacción del protocolo colaborativo.</w:t>
            </w:r>
          </w:p>
          <w:p>
            <w:pPr>
              <w:spacing w:after="80" w:line="276" w:lineRule="auto"/>
            </w:pPr>
            <w:r>
              <w:rPr>
                <w:rFonts w:ascii="Arial" w:hAnsi="Arial"/>
                <w:sz w:val="21"/>
              </w:rPr>
              <w:t>Como recomendación, sugiero que los equipos CIPAS establezcan pactos de trabajo con horarios fijos de debate intermedio antes de las tutorías presenciales, utilizando herramientas colaborativas como Google Docs y repositorios compartidos, de modo que la tutoría del sábado se aproveche al 100% en preguntas de fondo y validación de casos prácticos.</w:t>
            </w:r>
          </w:p>
        </w:tc>
      </w:tr>
      <w:tr>
        <w:trPr>
          <w:cantSplit w:val="false"/>
        </w:trPr>
        <w:tc>
          <w:tcPr>
            <w:tcBorders/>
          </w:tcPr>
          <w:p>
            <w:pPr>
              <w:spacing w:after="80"/>
            </w:pPr>
            <w:r/>
            <w:r>
              <w:rPr>
                <w:rFonts w:ascii="Arial" w:hAnsi="Arial"/>
                <w:b/>
                <w:sz w:val="22"/>
              </w:rPr>
              <w:t>Bibliografía:</w:t>
            </w:r>
          </w:p>
          <w:p>
            <w:pPr>
              <w:spacing w:after="60"/>
              <w:ind w:left="288"/>
            </w:pPr>
            <w:r>
              <w:rPr>
                <w:rFonts w:ascii="Arial" w:hAnsi="Arial"/>
                <w:b/>
                <w:sz w:val="21"/>
              </w:rPr>
              <w:t xml:space="preserve">• </w:t>
            </w:r>
            <w:r>
              <w:rPr>
                <w:rFonts w:ascii="Arial" w:hAnsi="Arial"/>
                <w:sz w:val="21"/>
              </w:rPr>
              <w:t>Lora Sfer, A. (2014). Los tres momentos del aprendizaje en la educación a distancia. Universidad de Cartagena.</w:t>
            </w:r>
          </w:p>
          <w:p>
            <w:pPr>
              <w:spacing w:after="60"/>
              <w:ind w:left="288"/>
            </w:pPr>
            <w:r>
              <w:rPr>
                <w:rFonts w:ascii="Arial" w:hAnsi="Arial"/>
                <w:b/>
                <w:sz w:val="21"/>
              </w:rPr>
              <w:t xml:space="preserve">• </w:t>
            </w:r>
            <w:r>
              <w:rPr>
                <w:rFonts w:ascii="Arial" w:hAnsi="Arial"/>
                <w:sz w:val="21"/>
              </w:rPr>
              <w:t>Bermúdez Mendieta, J. (2021). El aprendizaje basado en problemas para mejorar el pensamiento crítico. INNOVA Research Journal.</w:t>
            </w:r>
          </w:p>
          <w:p>
            <w:pPr>
              <w:spacing w:after="60"/>
              <w:ind w:left="288"/>
            </w:pPr>
            <w:r>
              <w:rPr>
                <w:rFonts w:ascii="Arial" w:hAnsi="Arial"/>
                <w:b/>
                <w:sz w:val="21"/>
              </w:rPr>
              <w:t xml:space="preserve">• </w:t>
            </w:r>
            <w:r>
              <w:rPr>
                <w:rFonts w:ascii="Arial" w:hAnsi="Arial"/>
                <w:sz w:val="21"/>
              </w:rPr>
              <w:t>Costa Román, Ó., &amp; García Gaitero, O. (2017). El aprendizaje autorregulado y las estrategias de aprendizaje. Tendencias Pedagógicas.</w:t>
            </w:r>
          </w:p>
          <w:p>
            <w:pPr>
              <w:spacing w:after="60"/>
              <w:ind w:left="288"/>
            </w:pPr>
            <w:r>
              <w:rPr>
                <w:rFonts w:ascii="Arial" w:hAnsi="Arial"/>
                <w:b/>
                <w:sz w:val="21"/>
              </w:rPr>
              <w:t xml:space="preserve">• </w:t>
            </w:r>
            <w:r>
              <w:rPr>
                <w:rFonts w:ascii="Arial" w:hAnsi="Arial"/>
                <w:b/>
                <w:sz w:val="21"/>
              </w:rPr>
              <w:t>Universidad de Cartagena - CTEV. (2026). Módulo Unidad 2:</w:t>
            </w:r>
            <w:r>
              <w:rPr>
                <w:rFonts w:ascii="Arial" w:hAnsi="Arial"/>
                <w:sz w:val="21"/>
              </w:rPr>
              <w:t xml:space="preserve"> Momentos de Aprendizaje Metodología a Distancia. Centro de Tecnologías para la Educación Virtual. Cartagena, Colombia.</w:t>
            </w:r>
          </w:p>
        </w:tc>
      </w:tr>
    </w:tbl>
    <w:p w14:paraId="00000011">
      <w:pPr>
        <w:pBdr/>
        <w:spacing/>
        <w:ind/>
        <w:jc w:val="left"/>
        <w:rPr>
          <w:rFonts w:ascii="Arial" w:hAnsi="Arial" w:eastAsia="Arial" w:cs="Arial"/>
          <w:b/>
          <w:bCs/>
          <w:color w:val="1f3864"/>
        </w:rPr>
      </w:pPr>
      <w:r>
        <w:rPr>
          <w:rFonts w:ascii="Arial" w:hAnsi="Arial" w:eastAsia="Arial" w:cs="Arial"/>
          <w:b/>
          <w:bCs/>
          <w:color w:val="1f3864"/>
        </w:rPr>
      </w:r>
      <w:r>
        <w:rPr>
          <w:rFonts w:ascii="Arial" w:hAnsi="Arial" w:eastAsia="Arial" w:cs="Arial"/>
          <w:b/>
          <w:bCs/>
          <w:color w:val="1f3864"/>
        </w:rPr>
      </w:r>
      <w:r>
        <w:rPr>
          <w:rFonts w:ascii="Arial" w:hAnsi="Arial" w:eastAsia="Arial" w:cs="Arial"/>
          <w:b/>
          <w:bCs/>
          <w:color w:val="1f3864"/>
        </w:rPr>
      </w:r>
    </w:p>
    <w:p w14:paraId="00000012">
      <w:pPr>
        <w:pBdr/>
        <w:spacing/>
        <w:ind/>
        <w:jc w:val="center"/>
        <w:rPr>
          <w:rFonts w:ascii="Arial" w:hAnsi="Arial" w:eastAsia="Arial" w:cs="Arial"/>
          <w:b/>
          <w:bCs/>
          <w:color w:val="1f3864"/>
        </w:rPr>
      </w:pPr>
      <w:r>
        <w:rPr>
          <w:rtl w:val="0"/>
        </w:rPr>
      </w:r>
      <w:r>
        <w:rPr>
          <w:rFonts w:ascii="Arial" w:hAnsi="Arial" w:eastAsia="Arial" w:cs="Arial"/>
          <w:b/>
          <w:bCs/>
          <w:color w:val="1f3864"/>
        </w:rPr>
      </w:r>
      <w:r>
        <w:rPr>
          <w:rFonts w:ascii="Arial" w:hAnsi="Arial" w:eastAsia="Arial" w:cs="Arial"/>
          <w:b/>
          <w:bCs/>
          <w:color w:val="1f3864"/>
        </w:rPr>
      </w:r>
    </w:p>
    <w:sectPr>
      <w:headerReference w:type="default" r:id="rId8"/>
      <w:foot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4">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5">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6">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8">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name w:val="Heading 1 Char"/>
    <w:basedOn w:val="938"/>
    <w:link w:val="930"/>
    <w:uiPriority w:val="9"/>
    <w:pPr>
      <w:pBdr/>
      <w:spacing/>
      <w:ind/>
    </w:pPr>
    <w:rPr>
      <w:rFonts w:ascii="Arial" w:hAnsi="Arial" w:eastAsia="Arial" w:cs="Arial"/>
      <w:color w:val="0f4761" w:themeColor="accent1" w:themeShade="BF"/>
      <w:sz w:val="40"/>
      <w:szCs w:val="40"/>
    </w:rPr>
  </w:style>
  <w:style w:type="character" w:styleId="884">
    <w:name w:val="Heading 2 Char"/>
    <w:basedOn w:val="938"/>
    <w:link w:val="931"/>
    <w:uiPriority w:val="9"/>
    <w:pPr>
      <w:pBdr/>
      <w:spacing/>
      <w:ind/>
    </w:pPr>
    <w:rPr>
      <w:rFonts w:ascii="Arial" w:hAnsi="Arial" w:eastAsia="Arial" w:cs="Arial"/>
      <w:color w:val="0f4761" w:themeColor="accent1" w:themeShade="BF"/>
      <w:sz w:val="32"/>
      <w:szCs w:val="32"/>
    </w:rPr>
  </w:style>
  <w:style w:type="character" w:styleId="885">
    <w:name w:val="Heading 3 Char"/>
    <w:basedOn w:val="938"/>
    <w:link w:val="932"/>
    <w:uiPriority w:val="9"/>
    <w:pPr>
      <w:pBdr/>
      <w:spacing/>
      <w:ind/>
    </w:pPr>
    <w:rPr>
      <w:rFonts w:ascii="Arial" w:hAnsi="Arial" w:eastAsia="Arial" w:cs="Arial"/>
      <w:color w:val="0f4761" w:themeColor="accent1" w:themeShade="BF"/>
      <w:sz w:val="28"/>
      <w:szCs w:val="28"/>
    </w:rPr>
  </w:style>
  <w:style w:type="character" w:styleId="886">
    <w:name w:val="Heading 4 Char"/>
    <w:basedOn w:val="938"/>
    <w:link w:val="933"/>
    <w:uiPriority w:val="9"/>
    <w:pPr>
      <w:pBdr/>
      <w:spacing/>
      <w:ind/>
    </w:pPr>
    <w:rPr>
      <w:rFonts w:ascii="Arial" w:hAnsi="Arial" w:eastAsia="Arial" w:cs="Arial"/>
      <w:i/>
      <w:iCs/>
      <w:color w:val="0f4761" w:themeColor="accent1" w:themeShade="BF"/>
    </w:rPr>
  </w:style>
  <w:style w:type="character" w:styleId="887">
    <w:name w:val="Heading 5 Char"/>
    <w:basedOn w:val="938"/>
    <w:link w:val="934"/>
    <w:uiPriority w:val="9"/>
    <w:pPr>
      <w:pBdr/>
      <w:spacing/>
      <w:ind/>
    </w:pPr>
    <w:rPr>
      <w:rFonts w:ascii="Arial" w:hAnsi="Arial" w:eastAsia="Arial" w:cs="Arial"/>
      <w:color w:val="0f4761" w:themeColor="accent1" w:themeShade="BF"/>
    </w:rPr>
  </w:style>
  <w:style w:type="character" w:styleId="888">
    <w:name w:val="Heading 6 Char"/>
    <w:basedOn w:val="938"/>
    <w:link w:val="935"/>
    <w:uiPriority w:val="9"/>
    <w:pPr>
      <w:pBdr/>
      <w:spacing/>
      <w:ind/>
    </w:pPr>
    <w:rPr>
      <w:rFonts w:ascii="Arial" w:hAnsi="Arial" w:eastAsia="Arial" w:cs="Arial"/>
      <w:i/>
      <w:iCs/>
      <w:color w:val="595959" w:themeColor="text1" w:themeTint="A6"/>
    </w:rPr>
  </w:style>
  <w:style w:type="character" w:styleId="889">
    <w:name w:val="Heading 7 Char"/>
    <w:basedOn w:val="938"/>
    <w:link w:val="880"/>
    <w:uiPriority w:val="9"/>
    <w:pPr>
      <w:pBdr/>
      <w:spacing/>
      <w:ind/>
    </w:pPr>
    <w:rPr>
      <w:rFonts w:ascii="Arial" w:hAnsi="Arial" w:eastAsia="Arial" w:cs="Arial"/>
      <w:color w:val="595959" w:themeColor="text1" w:themeTint="A6"/>
    </w:rPr>
  </w:style>
  <w:style w:type="character" w:styleId="890">
    <w:name w:val="Heading 8 Char"/>
    <w:basedOn w:val="938"/>
    <w:link w:val="881"/>
    <w:uiPriority w:val="9"/>
    <w:pPr>
      <w:pBdr/>
      <w:spacing/>
      <w:ind/>
    </w:pPr>
    <w:rPr>
      <w:rFonts w:ascii="Arial" w:hAnsi="Arial" w:eastAsia="Arial" w:cs="Arial"/>
      <w:i/>
      <w:iCs/>
      <w:color w:val="272727" w:themeColor="text1" w:themeTint="D8"/>
    </w:rPr>
  </w:style>
  <w:style w:type="character" w:styleId="891">
    <w:name w:val="Heading 9 Char"/>
    <w:basedOn w:val="938"/>
    <w:link w:val="882"/>
    <w:uiPriority w:val="9"/>
    <w:pPr>
      <w:pBdr/>
      <w:spacing/>
      <w:ind/>
    </w:pPr>
    <w:rPr>
      <w:rFonts w:ascii="Arial" w:hAnsi="Arial" w:eastAsia="Arial" w:cs="Arial"/>
      <w:i/>
      <w:iCs/>
      <w:color w:val="272727" w:themeColor="text1" w:themeTint="D8"/>
    </w:rPr>
  </w:style>
  <w:style w:type="character" w:styleId="892">
    <w:name w:val="Title Char"/>
    <w:basedOn w:val="938"/>
    <w:link w:val="936"/>
    <w:uiPriority w:val="10"/>
    <w:pPr>
      <w:pBdr/>
      <w:spacing/>
      <w:ind/>
    </w:pPr>
    <w:rPr>
      <w:rFonts w:ascii="Arial" w:hAnsi="Arial" w:eastAsia="Arial" w:cs="Arial"/>
      <w:spacing w:val="-10"/>
      <w:sz w:val="56"/>
      <w:szCs w:val="56"/>
    </w:rPr>
  </w:style>
  <w:style w:type="character" w:styleId="893">
    <w:name w:val="Subtitle Char"/>
    <w:basedOn w:val="938"/>
    <w:link w:val="947"/>
    <w:uiPriority w:val="11"/>
    <w:pPr>
      <w:pBdr/>
      <w:spacing/>
      <w:ind/>
    </w:pPr>
    <w:rPr>
      <w:color w:val="595959" w:themeColor="text1" w:themeTint="A6"/>
      <w:spacing w:val="15"/>
      <w:sz w:val="28"/>
      <w:szCs w:val="28"/>
    </w:rPr>
  </w:style>
  <w:style w:type="paragraph" w:styleId="894">
    <w:name w:val="Quote"/>
    <w:basedOn w:val="937"/>
    <w:next w:val="937"/>
    <w:link w:val="895"/>
    <w:uiPriority w:val="29"/>
    <w:qFormat/>
    <w:pPr>
      <w:pBdr/>
      <w:spacing w:before="160"/>
      <w:ind/>
      <w:jc w:val="center"/>
    </w:pPr>
    <w:rPr>
      <w:i/>
      <w:iCs/>
      <w:color w:val="404040" w:themeColor="text1" w:themeTint="BF"/>
    </w:rPr>
  </w:style>
  <w:style w:type="character" w:styleId="895">
    <w:name w:val="Quote Char"/>
    <w:basedOn w:val="938"/>
    <w:link w:val="894"/>
    <w:uiPriority w:val="29"/>
    <w:pPr>
      <w:pBdr/>
      <w:spacing/>
      <w:ind/>
    </w:pPr>
    <w:rPr>
      <w:i/>
      <w:iCs/>
      <w:color w:val="404040" w:themeColor="text1" w:themeTint="BF"/>
    </w:rPr>
  </w:style>
  <w:style w:type="character" w:styleId="896">
    <w:name w:val="Intense Emphasis"/>
    <w:basedOn w:val="938"/>
    <w:uiPriority w:val="21"/>
    <w:qFormat/>
    <w:pPr>
      <w:pBdr/>
      <w:spacing/>
      <w:ind/>
    </w:pPr>
    <w:rPr>
      <w:i/>
      <w:iCs/>
      <w:color w:val="0f4761" w:themeColor="accent1" w:themeShade="BF"/>
    </w:rPr>
  </w:style>
  <w:style w:type="paragraph" w:styleId="897">
    <w:name w:val="Intense Quote"/>
    <w:basedOn w:val="937"/>
    <w:next w:val="937"/>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938"/>
    <w:link w:val="897"/>
    <w:uiPriority w:val="30"/>
    <w:pPr>
      <w:pBdr/>
      <w:spacing/>
      <w:ind/>
    </w:pPr>
    <w:rPr>
      <w:i/>
      <w:iCs/>
      <w:color w:val="0f4761" w:themeColor="accent1" w:themeShade="BF"/>
    </w:rPr>
  </w:style>
  <w:style w:type="character" w:styleId="899">
    <w:name w:val="Intense Reference"/>
    <w:basedOn w:val="938"/>
    <w:uiPriority w:val="32"/>
    <w:qFormat/>
    <w:pPr>
      <w:pBdr/>
      <w:spacing/>
      <w:ind/>
    </w:pPr>
    <w:rPr>
      <w:b/>
      <w:bCs/>
      <w:smallCaps/>
      <w:color w:val="0f4761" w:themeColor="accent1" w:themeShade="BF"/>
      <w:spacing w:val="5"/>
    </w:rPr>
  </w:style>
  <w:style w:type="paragraph" w:styleId="900">
    <w:name w:val="No Spacing"/>
    <w:basedOn w:val="937"/>
    <w:uiPriority w:val="1"/>
    <w:qFormat/>
    <w:pPr>
      <w:pBdr/>
      <w:spacing w:after="0" w:line="240" w:lineRule="auto"/>
      <w:ind/>
    </w:pPr>
  </w:style>
  <w:style w:type="character" w:styleId="901">
    <w:name w:val="Subtle Emphasis"/>
    <w:basedOn w:val="938"/>
    <w:uiPriority w:val="19"/>
    <w:qFormat/>
    <w:pPr>
      <w:pBdr/>
      <w:spacing/>
      <w:ind/>
    </w:pPr>
    <w:rPr>
      <w:i/>
      <w:iCs/>
      <w:color w:val="404040" w:themeColor="text1" w:themeTint="BF"/>
    </w:rPr>
  </w:style>
  <w:style w:type="character" w:styleId="902">
    <w:name w:val="Emphasis"/>
    <w:basedOn w:val="938"/>
    <w:uiPriority w:val="20"/>
    <w:qFormat/>
    <w:pPr>
      <w:pBdr/>
      <w:spacing/>
      <w:ind/>
    </w:pPr>
    <w:rPr>
      <w:i/>
      <w:iCs/>
    </w:rPr>
  </w:style>
  <w:style w:type="character" w:styleId="903">
    <w:name w:val="Strong"/>
    <w:basedOn w:val="938"/>
    <w:uiPriority w:val="22"/>
    <w:qFormat/>
    <w:pPr>
      <w:pBdr/>
      <w:spacing/>
      <w:ind/>
    </w:pPr>
    <w:rPr>
      <w:b/>
      <w:bCs/>
    </w:rPr>
  </w:style>
  <w:style w:type="character" w:styleId="904">
    <w:name w:val="Subtle Reference"/>
    <w:basedOn w:val="938"/>
    <w:uiPriority w:val="31"/>
    <w:qFormat/>
    <w:pPr>
      <w:pBdr/>
      <w:spacing/>
      <w:ind/>
    </w:pPr>
    <w:rPr>
      <w:smallCaps/>
      <w:color w:val="5a5a5a" w:themeColor="text1" w:themeTint="A5"/>
    </w:rPr>
  </w:style>
  <w:style w:type="character" w:styleId="905">
    <w:name w:val="Book Title"/>
    <w:basedOn w:val="938"/>
    <w:uiPriority w:val="33"/>
    <w:qFormat/>
    <w:pPr>
      <w:pBdr/>
      <w:spacing/>
      <w:ind/>
    </w:pPr>
    <w:rPr>
      <w:b/>
      <w:bCs/>
      <w:i/>
      <w:iCs/>
      <w:spacing w:val="5"/>
    </w:rPr>
  </w:style>
  <w:style w:type="character" w:styleId="906">
    <w:name w:val="Header Char"/>
    <w:basedOn w:val="938"/>
    <w:link w:val="941"/>
    <w:uiPriority w:val="99"/>
    <w:pPr>
      <w:pBdr/>
      <w:spacing/>
      <w:ind/>
    </w:pPr>
  </w:style>
  <w:style w:type="character" w:styleId="907">
    <w:name w:val="Footer Char"/>
    <w:basedOn w:val="938"/>
    <w:link w:val="943"/>
    <w:uiPriority w:val="99"/>
    <w:pPr>
      <w:pBdr/>
      <w:spacing/>
      <w:ind/>
    </w:pPr>
  </w:style>
  <w:style w:type="paragraph" w:styleId="908">
    <w:name w:val="Caption"/>
    <w:basedOn w:val="937"/>
    <w:next w:val="937"/>
    <w:uiPriority w:val="35"/>
    <w:unhideWhenUsed/>
    <w:qFormat/>
    <w:pPr>
      <w:pBdr/>
      <w:spacing w:after="200" w:line="240" w:lineRule="auto"/>
      <w:ind/>
    </w:pPr>
    <w:rPr>
      <w:i/>
      <w:iCs/>
      <w:color w:val="0e2841" w:themeColor="text2"/>
      <w:sz w:val="18"/>
      <w:szCs w:val="18"/>
    </w:rPr>
  </w:style>
  <w:style w:type="paragraph" w:styleId="909">
    <w:name w:val="footnote text"/>
    <w:basedOn w:val="937"/>
    <w:link w:val="910"/>
    <w:uiPriority w:val="99"/>
    <w:semiHidden/>
    <w:unhideWhenUsed/>
    <w:pPr>
      <w:pBdr/>
      <w:spacing w:after="0" w:line="240" w:lineRule="auto"/>
      <w:ind/>
    </w:pPr>
    <w:rPr>
      <w:sz w:val="20"/>
      <w:szCs w:val="20"/>
    </w:rPr>
  </w:style>
  <w:style w:type="character" w:styleId="910">
    <w:name w:val="Footnote Text Char"/>
    <w:basedOn w:val="938"/>
    <w:link w:val="909"/>
    <w:uiPriority w:val="99"/>
    <w:semiHidden/>
    <w:pPr>
      <w:pBdr/>
      <w:spacing/>
      <w:ind/>
    </w:pPr>
    <w:rPr>
      <w:sz w:val="20"/>
      <w:szCs w:val="20"/>
    </w:rPr>
  </w:style>
  <w:style w:type="character" w:styleId="911">
    <w:name w:val="footnote reference"/>
    <w:basedOn w:val="938"/>
    <w:uiPriority w:val="99"/>
    <w:semiHidden/>
    <w:unhideWhenUsed/>
    <w:pPr>
      <w:pBdr/>
      <w:spacing/>
      <w:ind/>
    </w:pPr>
    <w:rPr>
      <w:vertAlign w:val="superscript"/>
    </w:rPr>
  </w:style>
  <w:style w:type="paragraph" w:styleId="912">
    <w:name w:val="endnote text"/>
    <w:basedOn w:val="937"/>
    <w:link w:val="913"/>
    <w:uiPriority w:val="99"/>
    <w:semiHidden/>
    <w:unhideWhenUsed/>
    <w:pPr>
      <w:pBdr/>
      <w:spacing w:after="0" w:line="240" w:lineRule="auto"/>
      <w:ind/>
    </w:pPr>
    <w:rPr>
      <w:sz w:val="20"/>
      <w:szCs w:val="20"/>
    </w:rPr>
  </w:style>
  <w:style w:type="character" w:styleId="913">
    <w:name w:val="Endnote Text Char"/>
    <w:basedOn w:val="938"/>
    <w:link w:val="912"/>
    <w:uiPriority w:val="99"/>
    <w:semiHidden/>
    <w:pPr>
      <w:pBdr/>
      <w:spacing/>
      <w:ind/>
    </w:pPr>
    <w:rPr>
      <w:sz w:val="20"/>
      <w:szCs w:val="20"/>
    </w:rPr>
  </w:style>
  <w:style w:type="character" w:styleId="914">
    <w:name w:val="endnote reference"/>
    <w:basedOn w:val="938"/>
    <w:uiPriority w:val="99"/>
    <w:semiHidden/>
    <w:unhideWhenUsed/>
    <w:pPr>
      <w:pBdr/>
      <w:spacing/>
      <w:ind/>
    </w:pPr>
    <w:rPr>
      <w:vertAlign w:val="superscript"/>
    </w:rPr>
  </w:style>
  <w:style w:type="character" w:styleId="915">
    <w:name w:val="Hyperlink"/>
    <w:basedOn w:val="938"/>
    <w:uiPriority w:val="99"/>
    <w:unhideWhenUsed/>
    <w:pPr>
      <w:pBdr/>
      <w:spacing/>
      <w:ind/>
    </w:pPr>
    <w:rPr>
      <w:color w:val="0563c1" w:themeColor="hyperlink"/>
      <w:u w:val="single"/>
    </w:rPr>
  </w:style>
  <w:style w:type="character" w:styleId="916">
    <w:name w:val="FollowedHyperlink"/>
    <w:basedOn w:val="938"/>
    <w:uiPriority w:val="99"/>
    <w:semiHidden/>
    <w:unhideWhenUsed/>
    <w:pPr>
      <w:pBdr/>
      <w:spacing/>
      <w:ind/>
    </w:pPr>
    <w:rPr>
      <w:color w:val="954f72" w:themeColor="followedHyperlink"/>
      <w:u w:val="single"/>
    </w:rPr>
  </w:style>
  <w:style w:type="paragraph" w:styleId="917">
    <w:name w:val="toc 1"/>
    <w:basedOn w:val="937"/>
    <w:next w:val="937"/>
    <w:uiPriority w:val="39"/>
    <w:unhideWhenUsed/>
    <w:pPr>
      <w:pBdr/>
      <w:spacing w:after="100"/>
      <w:ind/>
    </w:pPr>
  </w:style>
  <w:style w:type="paragraph" w:styleId="918">
    <w:name w:val="toc 2"/>
    <w:basedOn w:val="937"/>
    <w:next w:val="937"/>
    <w:uiPriority w:val="39"/>
    <w:unhideWhenUsed/>
    <w:pPr>
      <w:pBdr/>
      <w:spacing w:after="100"/>
      <w:ind w:left="220"/>
    </w:pPr>
  </w:style>
  <w:style w:type="paragraph" w:styleId="919">
    <w:name w:val="toc 3"/>
    <w:basedOn w:val="937"/>
    <w:next w:val="937"/>
    <w:uiPriority w:val="39"/>
    <w:unhideWhenUsed/>
    <w:pPr>
      <w:pBdr/>
      <w:spacing w:after="100"/>
      <w:ind w:left="440"/>
    </w:pPr>
  </w:style>
  <w:style w:type="paragraph" w:styleId="920">
    <w:name w:val="toc 4"/>
    <w:basedOn w:val="937"/>
    <w:next w:val="937"/>
    <w:uiPriority w:val="39"/>
    <w:unhideWhenUsed/>
    <w:pPr>
      <w:pBdr/>
      <w:spacing w:after="100"/>
      <w:ind w:left="660"/>
    </w:pPr>
  </w:style>
  <w:style w:type="paragraph" w:styleId="921">
    <w:name w:val="toc 5"/>
    <w:basedOn w:val="937"/>
    <w:next w:val="937"/>
    <w:uiPriority w:val="39"/>
    <w:unhideWhenUsed/>
    <w:pPr>
      <w:pBdr/>
      <w:spacing w:after="100"/>
      <w:ind w:left="880"/>
    </w:pPr>
  </w:style>
  <w:style w:type="paragraph" w:styleId="922">
    <w:name w:val="toc 6"/>
    <w:basedOn w:val="937"/>
    <w:next w:val="937"/>
    <w:uiPriority w:val="39"/>
    <w:unhideWhenUsed/>
    <w:pPr>
      <w:pBdr/>
      <w:spacing w:after="100"/>
      <w:ind w:left="1100"/>
    </w:pPr>
  </w:style>
  <w:style w:type="paragraph" w:styleId="923">
    <w:name w:val="toc 7"/>
    <w:basedOn w:val="937"/>
    <w:next w:val="937"/>
    <w:uiPriority w:val="39"/>
    <w:unhideWhenUsed/>
    <w:pPr>
      <w:pBdr/>
      <w:spacing w:after="100"/>
      <w:ind w:left="1320"/>
    </w:pPr>
  </w:style>
  <w:style w:type="paragraph" w:styleId="924">
    <w:name w:val="toc 8"/>
    <w:basedOn w:val="937"/>
    <w:next w:val="937"/>
    <w:uiPriority w:val="39"/>
    <w:unhideWhenUsed/>
    <w:pPr>
      <w:pBdr/>
      <w:spacing w:after="100"/>
      <w:ind w:left="1540"/>
    </w:pPr>
  </w:style>
  <w:style w:type="paragraph" w:styleId="925">
    <w:name w:val="toc 9"/>
    <w:basedOn w:val="937"/>
    <w:next w:val="937"/>
    <w:uiPriority w:val="39"/>
    <w:unhideWhenUsed/>
    <w:pPr>
      <w:pBdr/>
      <w:spacing w:after="100"/>
      <w:ind w:left="1760"/>
    </w:pPr>
  </w:style>
  <w:style w:type="character" w:styleId="926">
    <w:name w:val="Placeholder Text"/>
    <w:basedOn w:val="938"/>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37"/>
    <w:next w:val="937"/>
    <w:uiPriority w:val="99"/>
    <w:unhideWhenUsed/>
    <w:pPr>
      <w:pBdr/>
      <w:spacing w:after="0" w:afterAutospacing="0"/>
      <w:ind/>
    </w:pPr>
  </w:style>
  <w:style w:type="table" w:styleId="92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Heading 1"/>
    <w:basedOn w:val="937"/>
    <w:next w:val="937"/>
    <w:pPr>
      <w:keepNext w:val="true"/>
      <w:keepLines w:val="true"/>
      <w:pageBreakBefore w:val="false"/>
      <w:pBdr/>
      <w:spacing w:after="120" w:before="480"/>
      <w:ind/>
    </w:pPr>
    <w:rPr>
      <w:b/>
      <w:bCs/>
      <w:sz w:val="48"/>
      <w:szCs w:val="48"/>
    </w:rPr>
  </w:style>
  <w:style w:type="paragraph" w:styleId="931">
    <w:name w:val="Heading 2"/>
    <w:basedOn w:val="937"/>
    <w:next w:val="937"/>
    <w:pPr>
      <w:keepNext w:val="true"/>
      <w:keepLines w:val="true"/>
      <w:pageBreakBefore w:val="false"/>
      <w:pBdr/>
      <w:spacing w:after="80" w:before="360"/>
      <w:ind/>
    </w:pPr>
    <w:rPr>
      <w:b/>
      <w:bCs/>
      <w:sz w:val="36"/>
      <w:szCs w:val="36"/>
    </w:rPr>
  </w:style>
  <w:style w:type="paragraph" w:styleId="932">
    <w:name w:val="Heading 3"/>
    <w:basedOn w:val="937"/>
    <w:next w:val="937"/>
    <w:pPr>
      <w:keepNext w:val="true"/>
      <w:keepLines w:val="true"/>
      <w:pageBreakBefore w:val="false"/>
      <w:pBdr/>
      <w:spacing w:after="80" w:before="280"/>
      <w:ind/>
    </w:pPr>
    <w:rPr>
      <w:b/>
      <w:bCs/>
      <w:sz w:val="28"/>
      <w:szCs w:val="28"/>
    </w:rPr>
  </w:style>
  <w:style w:type="paragraph" w:styleId="933">
    <w:name w:val="Heading 4"/>
    <w:basedOn w:val="937"/>
    <w:next w:val="937"/>
    <w:pPr>
      <w:keepNext w:val="true"/>
      <w:keepLines w:val="true"/>
      <w:pageBreakBefore w:val="false"/>
      <w:pBdr/>
      <w:spacing w:after="40" w:before="240"/>
      <w:ind/>
    </w:pPr>
    <w:rPr>
      <w:b/>
      <w:bCs/>
      <w:sz w:val="24"/>
      <w:szCs w:val="24"/>
    </w:rPr>
  </w:style>
  <w:style w:type="paragraph" w:styleId="934">
    <w:name w:val="Heading 5"/>
    <w:basedOn w:val="937"/>
    <w:next w:val="937"/>
    <w:pPr>
      <w:keepNext w:val="true"/>
      <w:keepLines w:val="true"/>
      <w:pageBreakBefore w:val="false"/>
      <w:pBdr/>
      <w:spacing w:after="40" w:before="220"/>
      <w:ind/>
    </w:pPr>
    <w:rPr>
      <w:b/>
      <w:bCs/>
      <w:sz w:val="22"/>
      <w:szCs w:val="22"/>
    </w:rPr>
  </w:style>
  <w:style w:type="paragraph" w:styleId="935">
    <w:name w:val="Heading 6"/>
    <w:basedOn w:val="937"/>
    <w:next w:val="937"/>
    <w:pPr>
      <w:keepNext w:val="true"/>
      <w:keepLines w:val="true"/>
      <w:pageBreakBefore w:val="false"/>
      <w:pBdr/>
      <w:spacing w:after="40" w:before="200"/>
      <w:ind/>
    </w:pPr>
    <w:rPr>
      <w:b/>
      <w:bCs/>
      <w:sz w:val="20"/>
      <w:szCs w:val="20"/>
    </w:rPr>
  </w:style>
  <w:style w:type="paragraph" w:styleId="936">
    <w:name w:val="Title"/>
    <w:basedOn w:val="937"/>
    <w:next w:val="937"/>
    <w:pPr>
      <w:keepNext w:val="true"/>
      <w:keepLines w:val="true"/>
      <w:pageBreakBefore w:val="false"/>
      <w:pBdr/>
      <w:spacing w:after="120" w:before="480"/>
      <w:ind/>
    </w:pPr>
    <w:rPr>
      <w:b/>
      <w:bCs/>
      <w:sz w:val="72"/>
      <w:szCs w:val="72"/>
    </w:rPr>
  </w:style>
  <w:style w:type="paragraph" w:styleId="937" w:default="1">
    <w:name w:val="Normal"/>
    <w:qFormat/>
    <w:pPr>
      <w:pBdr/>
      <w:spacing/>
      <w:ind/>
    </w:pPr>
    <w:rPr>
      <w:rFonts w:ascii="Times New Roman" w:hAnsi="Times New Roman" w:eastAsia="Times New Roman" w:cs="Times New Roman"/>
      <w:lang w:eastAsia="es-MX"/>
    </w:rPr>
  </w:style>
  <w:style w:type="character" w:styleId="938" w:default="1">
    <w:name w:val="Default Paragraph Font"/>
    <w:uiPriority w:val="1"/>
    <w:semiHidden/>
    <w:unhideWhenUsed/>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Header"/>
    <w:basedOn w:val="937"/>
    <w:link w:val="942"/>
    <w:uiPriority w:val="99"/>
    <w:unhideWhenUsed/>
    <w:pPr>
      <w:pBdr/>
      <w:tabs>
        <w:tab w:val="center" w:leader="none" w:pos="4419"/>
        <w:tab w:val="right" w:leader="none" w:pos="8838"/>
      </w:tabs>
      <w:spacing/>
      <w:ind/>
    </w:pPr>
  </w:style>
  <w:style w:type="character" w:styleId="942" w:customStyle="1">
    <w:name w:val="Encabezado Car"/>
    <w:basedOn w:val="938"/>
    <w:link w:val="941"/>
    <w:uiPriority w:val="99"/>
    <w:pPr>
      <w:pBdr/>
      <w:spacing/>
      <w:ind/>
    </w:pPr>
    <w:rPr>
      <w:rFonts w:ascii="Times New Roman" w:hAnsi="Times New Roman" w:eastAsia="Times New Roman" w:cs="Times New Roman"/>
      <w:lang w:eastAsia="es-MX"/>
    </w:rPr>
  </w:style>
  <w:style w:type="paragraph" w:styleId="943">
    <w:name w:val="Footer"/>
    <w:basedOn w:val="937"/>
    <w:link w:val="944"/>
    <w:uiPriority w:val="99"/>
    <w:unhideWhenUsed/>
    <w:pPr>
      <w:pBdr/>
      <w:tabs>
        <w:tab w:val="center" w:leader="none" w:pos="4419"/>
        <w:tab w:val="right" w:leader="none" w:pos="8838"/>
      </w:tabs>
      <w:spacing/>
      <w:ind/>
    </w:pPr>
  </w:style>
  <w:style w:type="character" w:styleId="944" w:customStyle="1">
    <w:name w:val="Pie de página Car"/>
    <w:basedOn w:val="938"/>
    <w:link w:val="943"/>
    <w:uiPriority w:val="99"/>
    <w:pPr>
      <w:pBdr/>
      <w:spacing/>
      <w:ind/>
    </w:pPr>
    <w:rPr>
      <w:rFonts w:ascii="Times New Roman" w:hAnsi="Times New Roman" w:eastAsia="Times New Roman" w:cs="Times New Roman"/>
      <w:lang w:eastAsia="es-MX"/>
    </w:rPr>
  </w:style>
  <w:style w:type="paragraph" w:styleId="945">
    <w:name w:val="List Paragraph"/>
    <w:basedOn w:val="937"/>
    <w:uiPriority w:val="34"/>
    <w:qFormat/>
    <w:pPr>
      <w:pBdr/>
      <w:spacing/>
      <w:ind w:left="720"/>
      <w:contextualSpacing w:val="true"/>
    </w:pPr>
    <w:rPr>
      <w:rFonts w:asciiTheme="minorHAnsi" w:hAnsiTheme="minorHAnsi" w:eastAsiaTheme="minorEastAsia" w:cstheme="minorBidi"/>
      <w:sz w:val="21"/>
      <w:lang w:val="es-ES" w:eastAsia="en-US"/>
    </w:rPr>
  </w:style>
  <w:style w:type="table" w:styleId="946">
    <w:name w:val="Table Grid"/>
    <w:basedOn w:val="93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Subtitle"/>
    <w:basedOn w:val="937"/>
    <w:next w:val="937"/>
    <w:pPr>
      <w:keepNext w:val="true"/>
      <w:keepLines w:val="true"/>
      <w:pageBreakBefore w:val="false"/>
      <w:pBdr/>
      <w:spacing w:after="80" w:before="360"/>
      <w:ind/>
    </w:pPr>
    <w:rPr>
      <w:rFonts w:ascii="Georgia" w:hAnsi="Georgia" w:eastAsia="Georgia" w:cs="Georgia"/>
      <w:i/>
      <w:iCs/>
      <w:color w:val="666666"/>
      <w:sz w:val="48"/>
      <w:szCs w:val="48"/>
    </w:rPr>
  </w:style>
  <w:style w:type="table" w:styleId="948">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3</cp:revision>
  <dcterms:created xsi:type="dcterms:W3CDTF">2023-01-25T02:41:00Z</dcterms:created>
  <dcterms:modified xsi:type="dcterms:W3CDTF">2026-08-20T02:18:00Z</dcterms:modified>
</cp:coreProperties>
</file>