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color w:val="002060"/>
          <w:sz w:val="28"/>
          <w:szCs w:val="28"/>
        </w:rPr>
      </w:pPr>
      <w:r w:rsidDel="00000000" w:rsidR="00000000" w:rsidRPr="00000000">
        <w:rPr>
          <w:rFonts w:ascii="Arial" w:cs="Arial" w:eastAsia="Arial" w:hAnsi="Arial"/>
          <w:color w:val="002060"/>
          <w:sz w:val="28"/>
          <w:szCs w:val="28"/>
          <w:rtl w:val="0"/>
        </w:rPr>
        <w:t xml:space="preserve">Plantilla protocolo colaborativo</w:t>
      </w:r>
    </w:p>
    <w:p w:rsidR="00000000" w:rsidDel="00000000" w:rsidP="00000000" w:rsidRDefault="00000000" w:rsidRPr="00000000" w14:paraId="00000002">
      <w:pPr>
        <w:spacing w:line="360" w:lineRule="auto"/>
        <w:jc w:val="both"/>
        <w:rPr>
          <w:rFonts w:ascii="Arial" w:cs="Arial" w:eastAsia="Arial" w:hAnsi="Arial"/>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03">
            <w:pPr>
              <w:spacing w:line="360" w:lineRule="auto"/>
              <w:jc w:val="both"/>
              <w:rPr>
                <w:rFonts w:ascii="Arial" w:cs="Arial" w:eastAsia="Arial" w:hAnsi="Arial"/>
                <w:b w:val="1"/>
                <w:bCs w:val="1"/>
              </w:rPr>
            </w:pPr>
            <w:bookmarkStart w:colFirst="0" w:colLast="0" w:name="_heading=h.gjdgxs" w:id="0"/>
            <w:bookmarkEnd w:id="0"/>
            <w:r w:rsidDel="00000000" w:rsidR="00000000" w:rsidRPr="00000000">
              <w:rPr>
                <w:rFonts w:ascii="Arial" w:cs="Arial" w:eastAsia="Arial" w:hAnsi="Arial"/>
                <w:b w:val="1"/>
                <w:bCs w:val="1"/>
                <w:rtl w:val="0"/>
              </w:rPr>
              <w:t xml:space="preserve">Protocolo colaborativo</w:t>
            </w:r>
          </w:p>
        </w:tc>
      </w:tr>
      <w:tr>
        <w:trPr>
          <w:cantSplit w:val="0"/>
          <w:tblHeader w:val="0"/>
        </w:trPr>
        <w:tc>
          <w:tcPr/>
          <w:p w:rsidR="00000000" w:rsidDel="00000000" w:rsidP="00000000" w:rsidRDefault="00000000" w:rsidRPr="00000000" w14:paraId="00000004">
            <w:pPr>
              <w:spacing w:line="276" w:lineRule="auto" w:after="80"/>
              <w:jc w:val="both"/>
              <w:rPr>
                <w:rFonts w:ascii="Arial" w:cs="Arial" w:eastAsia="Arial" w:hAnsi="Arial"/>
                <w:b w:val="1"/>
                <w:bCs w:val="1"/>
              </w:rPr>
            </w:pPr>
            <w:r/>
            <w:r>
              <w:rPr>
                <w:rFonts w:ascii="Times New Roman" w:hAnsi="Times New Roman"/>
                <w:b/>
                <w:color w:val="000000"/>
                <w:sz w:val="24"/>
              </w:rPr>
              <w:t>Registro de los participantes (CIPAS):</w:t>
            </w:r>
          </w:p>
          <w:p w:rsidR="00000000" w:rsidDel="00000000" w:rsidP="00000000" w:rsidRDefault="00000000" w:rsidRPr="00000000" w14:paraId="00000005">
            <w:pPr>
              <w:spacing w:line="360" w:lineRule="auto"/>
              <w:jc w:val="both"/>
              <w:rPr>
                <w:rFonts w:ascii="Arial" w:cs="Arial" w:eastAsia="Arial" w:hAnsi="Arial"/>
                <w:b w:val="1"/>
                <w:bCs w:val="1"/>
              </w:rPr>
            </w:pPr>
            <w:r w:rsidDel="00000000" w:rsidR="00000000" w:rsidRPr="00000000">
              <w:rPr>
                <w:rtl w:val="0"/>
              </w:rPr>
            </w:r>
          </w:p>
          <w:p>
            <w:pPr>
              <w:spacing w:after="80" w:line="276" w:lineRule="auto"/>
              <w:jc w:val="both"/>
            </w:pPr>
            <w:r>
              <w:rPr>
                <w:rFonts w:ascii="Times New Roman" w:hAnsi="Times New Roman"/>
                <w:b w:val="0"/>
                <w:color w:val="000000"/>
                <w:sz w:val="24"/>
              </w:rPr>
              <w:t>• Santiago Orozco Vergara</w:t>
            </w:r>
          </w:p>
          <w:p>
            <w:pPr>
              <w:spacing w:after="80" w:line="276" w:lineRule="auto"/>
              <w:jc w:val="both"/>
            </w:pPr>
            <w:r>
              <w:rPr>
                <w:rFonts w:ascii="Times New Roman" w:hAnsi="Times New Roman"/>
                <w:b w:val="0"/>
                <w:color w:val="000000"/>
                <w:sz w:val="24"/>
              </w:rPr>
              <w:t>• Cristian Andrés Flórez Arboleda</w:t>
            </w:r>
          </w:p>
          <w:p>
            <w:pPr>
              <w:spacing w:after="80" w:line="276" w:lineRule="auto"/>
              <w:jc w:val="both"/>
            </w:pPr>
            <w:r>
              <w:rPr>
                <w:rFonts w:ascii="Times New Roman" w:hAnsi="Times New Roman"/>
                <w:b w:val="0"/>
                <w:color w:val="000000"/>
                <w:sz w:val="24"/>
              </w:rPr>
              <w:t>• Esteban David Marrugo Jassir (Cód. 7502620036)</w:t>
            </w:r>
          </w:p>
          <w:p>
            <w:pPr>
              <w:spacing w:after="80" w:line="276" w:lineRule="auto"/>
              <w:jc w:val="both"/>
            </w:pPr>
            <w:r>
              <w:rPr>
                <w:rFonts w:ascii="Times New Roman" w:hAnsi="Times New Roman"/>
                <w:b w:val="0"/>
                <w:color w:val="000000"/>
                <w:sz w:val="24"/>
              </w:rPr>
              <w:t>• Juan Guillermo Villa Beleño</w:t>
            </w:r>
          </w:p>
          <w:p>
            <w:pPr>
              <w:spacing w:after="80" w:line="276" w:lineRule="auto"/>
              <w:jc w:val="both"/>
            </w:pPr>
            <w:r>
              <w:rPr>
                <w:rFonts w:ascii="Times New Roman" w:hAnsi="Times New Roman"/>
                <w:b w:val="0"/>
                <w:color w:val="000000"/>
                <w:sz w:val="24"/>
              </w:rPr>
              <w:t>• Gabriel Antonio Molina Meza</w:t>
            </w:r>
          </w:p>
        </w:tc>
      </w:tr>
      <w:tr>
        <w:trPr>
          <w:cantSplit w:val="0"/>
          <w:tblHeader w:val="0"/>
        </w:trPr>
        <w:tc>
          <w:tcPr/>
          <w:p w:rsidR="00000000" w:rsidDel="00000000" w:rsidP="00000000" w:rsidRDefault="00000000" w:rsidRPr="00000000" w14:paraId="00000006">
            <w:pPr>
              <w:spacing w:line="276" w:lineRule="auto" w:after="80"/>
              <w:jc w:val="both"/>
              <w:rPr>
                <w:rFonts w:ascii="Arial" w:cs="Arial" w:eastAsia="Arial" w:hAnsi="Arial"/>
              </w:rPr>
            </w:pPr>
            <w:r/>
            <w:r>
              <w:rPr>
                <w:rFonts w:ascii="Times New Roman" w:hAnsi="Times New Roman"/>
                <w:b/>
                <w:color w:val="000000"/>
                <w:sz w:val="24"/>
              </w:rPr>
              <w:t>Descripción del texto o actividad a realizar:</w:t>
            </w:r>
          </w:p>
          <w:p>
            <w:pPr>
              <w:spacing w:after="80" w:line="276" w:lineRule="auto"/>
              <w:jc w:val="both"/>
            </w:pPr>
            <w:r>
              <w:rPr>
                <w:rFonts w:ascii="Times New Roman" w:hAnsi="Times New Roman"/>
                <w:b w:val="0"/>
                <w:color w:val="000000"/>
                <w:sz w:val="24"/>
              </w:rPr>
              <w:t>Nos reunimos como CIPAS para analizar el módulo de la Unidad 4 de Cátedra Institucional sobre Motivación y Valores (Motivación.pdf). Pusimos en común lo que cada uno comprendió acerca de la pirámide de Abraham Maslow y las diferencias entre impulsos espontáneos y motivos estructurados. Además, examinamos cómo la autonomía y la solidaridad influyen directamente en la organización de nuestras tareas de Ingeniería de Software a distancia y en la convivencia dentro del equipo.</w:t>
            </w:r>
          </w:p>
        </w:tc>
      </w:tr>
      <w:tr>
        <w:trPr>
          <w:cantSplit w:val="0"/>
          <w:tblHeader w:val="0"/>
        </w:trPr>
        <w:tc>
          <w:tcPr/>
          <w:p w:rsidR="00000000" w:rsidDel="00000000" w:rsidP="00000000" w:rsidRDefault="00000000" w:rsidRPr="00000000" w14:paraId="00000007">
            <w:pPr>
              <w:spacing w:line="276" w:lineRule="auto" w:after="80"/>
              <w:jc w:val="both"/>
              <w:rPr>
                <w:rFonts w:ascii="Arial" w:cs="Arial" w:eastAsia="Arial" w:hAnsi="Arial"/>
                <w:color w:val="002060"/>
                <w:sz w:val="28"/>
                <w:szCs w:val="28"/>
              </w:rPr>
            </w:pPr>
            <w:r/>
            <w:r>
              <w:rPr>
                <w:rFonts w:ascii="Times New Roman" w:hAnsi="Times New Roman"/>
                <w:b/>
                <w:color w:val="000000"/>
                <w:sz w:val="24"/>
              </w:rPr>
              <w:t>Palabras claves:</w:t>
            </w:r>
          </w:p>
          <w:p w:rsidR="00000000" w:rsidDel="00000000" w:rsidP="00000000" w:rsidRDefault="00000000" w:rsidRPr="00000000" w14:paraId="00000008">
            <w:pPr>
              <w:spacing w:line="360" w:lineRule="auto"/>
              <w:jc w:val="both"/>
              <w:rPr>
                <w:rFonts w:ascii="Arial" w:cs="Arial" w:eastAsia="Arial" w:hAnsi="Arial"/>
                <w:color w:val="002060"/>
                <w:sz w:val="28"/>
                <w:szCs w:val="28"/>
              </w:rPr>
            </w:pPr>
            <w:r w:rsidDel="00000000" w:rsidR="00000000" w:rsidRPr="00000000">
              <w:rPr>
                <w:rtl w:val="0"/>
              </w:rPr>
            </w:r>
          </w:p>
          <w:p>
            <w:pPr>
              <w:spacing w:after="80" w:line="276" w:lineRule="auto"/>
              <w:jc w:val="both"/>
            </w:pPr>
            <w:r>
              <w:rPr>
                <w:rFonts w:ascii="Times New Roman" w:hAnsi="Times New Roman"/>
                <w:b w:val="0"/>
                <w:color w:val="000000"/>
                <w:sz w:val="24"/>
              </w:rPr>
              <w:t>Pirámide de Maslow, Motivación intrínseca vs extrínseca, Impulso y necesidad (APA, 2015), Satisfactores axiológicos, Autonomía autorregulada (autos y nomos), Solidaridad en equipo, Convivencia a distancia.</w:t>
            </w:r>
          </w:p>
        </w:tc>
      </w:tr>
      <w:tr>
        <w:trPr>
          <w:cantSplit w:val="0"/>
          <w:tblHeader w:val="0"/>
        </w:trPr>
        <w:tc>
          <w:tcPr/>
          <w:p w:rsidR="00000000" w:rsidDel="00000000" w:rsidP="00000000" w:rsidRDefault="00000000" w:rsidRPr="00000000" w14:paraId="00000009">
            <w:pPr>
              <w:spacing w:line="276" w:lineRule="auto" w:after="80"/>
              <w:jc w:val="both"/>
              <w:rPr>
                <w:rFonts w:ascii="Arial" w:cs="Arial" w:eastAsia="Arial" w:hAnsi="Arial"/>
              </w:rPr>
            </w:pPr>
            <w:r/>
            <w:r>
              <w:rPr>
                <w:rFonts w:ascii="Times New Roman" w:hAnsi="Times New Roman"/>
                <w:b/>
                <w:color w:val="000000"/>
                <w:sz w:val="24"/>
              </w:rPr>
              <w:t>Objetivos de las lecturas o actividad a realizar:</w:t>
            </w:r>
          </w:p>
          <w:p>
            <w:pPr>
              <w:spacing w:after="80" w:line="276" w:lineRule="auto"/>
              <w:jc w:val="both"/>
            </w:pPr>
            <w:r>
              <w:rPr>
                <w:rFonts w:ascii="Times New Roman" w:hAnsi="Times New Roman"/>
                <w:b w:val="0"/>
                <w:color w:val="000000"/>
                <w:sz w:val="24"/>
              </w:rPr>
              <w:t>• Analizar en grupo los cinco peldaños de la pirámide de Maslow para entender cómo nuestras condiciones físicas y de descanso condicionan el rendimiento académico.</w:t>
            </w:r>
          </w:p>
          <w:p>
            <w:pPr>
              <w:spacing w:after="80" w:line="276" w:lineRule="auto"/>
              <w:jc w:val="both"/>
            </w:pPr>
            <w:r>
              <w:rPr>
                <w:rFonts w:ascii="Times New Roman" w:hAnsi="Times New Roman"/>
                <w:b w:val="0"/>
                <w:color w:val="000000"/>
                <w:sz w:val="24"/>
              </w:rPr>
              <w:t>• Diferenciar las reacciones impulsivas del momento frente a motivos meditados que sostienen el compromiso formativo a largo plazo.</w:t>
            </w:r>
          </w:p>
          <w:p>
            <w:pPr>
              <w:spacing w:after="80" w:line="276" w:lineRule="auto"/>
              <w:jc w:val="both"/>
            </w:pPr>
            <w:r>
              <w:rPr>
                <w:rFonts w:ascii="Times New Roman" w:hAnsi="Times New Roman"/>
                <w:b w:val="0"/>
                <w:color w:val="000000"/>
                <w:sz w:val="24"/>
              </w:rPr>
              <w:t>• Establecer acuerdos prácticos sobre el ejercicio de la autonomía en la educación virtual, acordando fechas internas de entrega en el CIPAS.</w:t>
            </w:r>
          </w:p>
          <w:p>
            <w:pPr>
              <w:spacing w:after="80" w:line="276" w:lineRule="auto"/>
              <w:jc w:val="both"/>
            </w:pPr>
            <w:r>
              <w:rPr>
                <w:rFonts w:ascii="Times New Roman" w:hAnsi="Times New Roman"/>
                <w:b w:val="0"/>
                <w:color w:val="000000"/>
                <w:sz w:val="24"/>
              </w:rPr>
              <w:t>• Fortalecer el diálogo y la tolerancia como herramientas de trabajo para coordinar proyectos técnicos con respeto mutuo.</w:t>
            </w:r>
          </w:p>
        </w:tc>
      </w:tr>
      <w:tr>
        <w:trPr>
          <w:cantSplit w:val="0"/>
          <w:tblHeader w:val="0"/>
        </w:trPr>
        <w:tc>
          <w:tcPr/>
          <w:p w:rsidR="00000000" w:rsidDel="00000000" w:rsidP="00000000" w:rsidRDefault="00000000" w:rsidRPr="00000000" w14:paraId="0000000A">
            <w:pPr>
              <w:spacing w:line="276" w:lineRule="auto" w:after="80"/>
              <w:jc w:val="both"/>
              <w:rPr>
                <w:rFonts w:ascii="Arial" w:cs="Arial" w:eastAsia="Arial" w:hAnsi="Arial"/>
              </w:rPr>
            </w:pPr>
            <w:r/>
            <w:r>
              <w:rPr>
                <w:rFonts w:ascii="Times New Roman" w:hAnsi="Times New Roman"/>
                <w:b/>
                <w:color w:val="000000"/>
                <w:sz w:val="24"/>
              </w:rPr>
              <w:t>Conceptos claves y definiciones:</w:t>
            </w:r>
          </w:p>
          <w:p>
            <w:pPr>
              <w:spacing w:after="80" w:line="276" w:lineRule="auto"/>
              <w:jc w:val="both"/>
            </w:pPr>
            <w:r>
              <w:rPr>
                <w:rFonts w:ascii="Times New Roman" w:hAnsi="Times New Roman"/>
                <w:b w:val="0"/>
                <w:color w:val="000000"/>
                <w:sz w:val="24"/>
              </w:rPr>
              <w:t xml:space="preserve">• </w:t>
            </w:r>
            <w:r>
              <w:rPr>
                <w:rFonts w:ascii="Times New Roman" w:hAnsi="Times New Roman"/>
                <w:b/>
                <w:color w:val="000000"/>
                <w:sz w:val="24"/>
              </w:rPr>
              <w:t>Motivación:</w:t>
            </w:r>
            <w:r>
              <w:rPr>
                <w:rFonts w:ascii="Times New Roman" w:hAnsi="Times New Roman"/>
                <w:b w:val="0"/>
                <w:color w:val="000000"/>
                <w:sz w:val="24"/>
              </w:rPr>
              <w:t xml:space="preserve"> Energía orientada a conseguir un fin determinado. Requiere disciplina personal y constancia para sostener los esfuerzos frente a la dificultad de las materias.</w:t>
            </w:r>
          </w:p>
          <w:p>
            <w:pPr>
              <w:spacing w:after="80" w:line="276" w:lineRule="auto"/>
              <w:jc w:val="both"/>
            </w:pPr>
            <w:r>
              <w:rPr>
                <w:rFonts w:ascii="Times New Roman" w:hAnsi="Times New Roman"/>
                <w:b w:val="0"/>
                <w:color w:val="000000"/>
                <w:sz w:val="24"/>
              </w:rPr>
              <w:t xml:space="preserve">• </w:t>
            </w:r>
            <w:r>
              <w:rPr>
                <w:rFonts w:ascii="Times New Roman" w:hAnsi="Times New Roman"/>
                <w:b/>
                <w:color w:val="000000"/>
                <w:sz w:val="24"/>
              </w:rPr>
              <w:t>Impulso vs. Motivo:</w:t>
            </w:r>
            <w:r>
              <w:rPr>
                <w:rFonts w:ascii="Times New Roman" w:hAnsi="Times New Roman"/>
                <w:b w:val="0"/>
                <w:color w:val="000000"/>
                <w:sz w:val="24"/>
              </w:rPr>
              <w:t xml:space="preserve"> El impulso corresponde a una acción rápida e improvisada ante un estímulo inmediato. El motivo constituye una meta clara y consciente que orienta nuestras prioridades personales.</w:t>
            </w:r>
          </w:p>
          <w:p>
            <w:pPr>
              <w:spacing w:after="80" w:line="276" w:lineRule="auto"/>
              <w:jc w:val="both"/>
            </w:pPr>
            <w:r>
              <w:rPr>
                <w:rFonts w:ascii="Times New Roman" w:hAnsi="Times New Roman"/>
                <w:b w:val="0"/>
                <w:color w:val="000000"/>
                <w:sz w:val="24"/>
              </w:rPr>
              <w:t xml:space="preserve">• </w:t>
            </w:r>
            <w:r>
              <w:rPr>
                <w:rFonts w:ascii="Times New Roman" w:hAnsi="Times New Roman"/>
                <w:b/>
                <w:color w:val="000000"/>
                <w:sz w:val="24"/>
              </w:rPr>
              <w:t>Pirámide de Maslow:</w:t>
            </w:r>
            <w:r>
              <w:rPr>
                <w:rFonts w:ascii="Times New Roman" w:hAnsi="Times New Roman"/>
                <w:b w:val="0"/>
                <w:color w:val="000000"/>
                <w:sz w:val="24"/>
              </w:rPr>
              <w:t xml:space="preserve"> Modelo jerárquico de cinco niveles: en la base figuran las necesidades biológicas y de protección; en la cúspide se encuentran la integración social, el reconocimiento y la autorrealización. El equipo coincidió en que resolver el descanso y la tranquilidad básica permite abordar con éxito tareas cognitivas exigentes.</w:t>
            </w:r>
          </w:p>
          <w:p>
            <w:pPr>
              <w:spacing w:after="80" w:line="276" w:lineRule="auto"/>
              <w:jc w:val="both"/>
            </w:pPr>
            <w:r>
              <w:rPr>
                <w:rFonts w:ascii="Times New Roman" w:hAnsi="Times New Roman"/>
                <w:b w:val="0"/>
                <w:color w:val="000000"/>
                <w:sz w:val="24"/>
              </w:rPr>
              <w:t xml:space="preserve">• </w:t>
            </w:r>
            <w:r>
              <w:rPr>
                <w:rFonts w:ascii="Times New Roman" w:hAnsi="Times New Roman"/>
                <w:b/>
                <w:color w:val="000000"/>
                <w:sz w:val="24"/>
              </w:rPr>
              <w:t>Valores como satisfactores:</w:t>
            </w:r>
            <w:r>
              <w:rPr>
                <w:rFonts w:ascii="Times New Roman" w:hAnsi="Times New Roman"/>
                <w:b w:val="0"/>
                <w:color w:val="000000"/>
                <w:sz w:val="24"/>
              </w:rPr>
              <w:t xml:space="preserve"> Pautas éticas que canalizan la solución de nuestras necesidades. La responsabilidad y el cumplimiento mutuo generan seguridad y confianza en las labores compartidas del grupo.</w:t>
            </w:r>
          </w:p>
          <w:p>
            <w:pPr>
              <w:spacing w:after="80" w:line="276" w:lineRule="auto"/>
              <w:jc w:val="both"/>
            </w:pPr>
            <w:r>
              <w:rPr>
                <w:rFonts w:ascii="Times New Roman" w:hAnsi="Times New Roman"/>
                <w:b w:val="0"/>
                <w:color w:val="000000"/>
                <w:sz w:val="24"/>
              </w:rPr>
              <w:t xml:space="preserve">• </w:t>
            </w:r>
            <w:r>
              <w:rPr>
                <w:rFonts w:ascii="Times New Roman" w:hAnsi="Times New Roman"/>
                <w:b/>
                <w:color w:val="000000"/>
                <w:sz w:val="24"/>
              </w:rPr>
              <w:t>Autonomía:</w:t>
            </w:r>
            <w:r>
              <w:rPr>
                <w:rFonts w:ascii="Times New Roman" w:hAnsi="Times New Roman"/>
                <w:b w:val="0"/>
                <w:color w:val="000000"/>
                <w:sz w:val="24"/>
              </w:rPr>
              <w:t xml:space="preserve"> Capacidad de autogobierno (autos, propio; nomos, norma). Implica planificar horarios de estudio personales, revisar el material de forma independiente y cumplir los acuerdos pactados con los compañeros.</w:t>
            </w:r>
          </w:p>
          <w:p>
            <w:pPr>
              <w:spacing w:after="80" w:line="276" w:lineRule="auto"/>
              <w:jc w:val="both"/>
            </w:pPr>
            <w:r>
              <w:rPr>
                <w:rFonts w:ascii="Times New Roman" w:hAnsi="Times New Roman"/>
                <w:b w:val="0"/>
                <w:color w:val="000000"/>
                <w:sz w:val="24"/>
              </w:rPr>
              <w:t xml:space="preserve">• </w:t>
            </w:r>
            <w:r>
              <w:rPr>
                <w:rFonts w:ascii="Times New Roman" w:hAnsi="Times New Roman"/>
                <w:b/>
                <w:color w:val="000000"/>
                <w:sz w:val="24"/>
              </w:rPr>
              <w:t>Solidaridad:</w:t>
            </w:r>
            <w:r>
              <w:rPr>
                <w:rFonts w:ascii="Times New Roman" w:hAnsi="Times New Roman"/>
                <w:b w:val="0"/>
                <w:color w:val="000000"/>
                <w:sz w:val="24"/>
              </w:rPr>
              <w:t xml:space="preserve"> Apoyo recíproco ante fallas de conectividad, dudas conceptuales o emergencias personales, garantizando que todos los integrantes del CIPAS avancen con solvencia.</w:t>
            </w:r>
          </w:p>
        </w:tc>
      </w:tr>
      <w:tr>
        <w:trPr>
          <w:cantSplit w:val="0"/>
          <w:tblHeader w:val="0"/>
        </w:trPr>
        <w:tc>
          <w:tcPr/>
          <w:p w:rsidR="00000000" w:rsidDel="00000000" w:rsidP="00000000" w:rsidRDefault="00000000" w:rsidRPr="00000000" w14:paraId="0000000B">
            <w:pPr>
              <w:spacing w:line="276" w:lineRule="auto" w:after="80"/>
              <w:jc w:val="both"/>
              <w:rPr>
                <w:rFonts w:ascii="Arial" w:cs="Arial" w:eastAsia="Arial" w:hAnsi="Arial"/>
              </w:rPr>
            </w:pPr>
            <w:r/>
            <w:r>
              <w:rPr>
                <w:rFonts w:ascii="Times New Roman" w:hAnsi="Times New Roman"/>
                <w:b/>
                <w:color w:val="000000"/>
                <w:sz w:val="24"/>
              </w:rPr>
              <w:t>Resumen de las discusiones grupales:</w:t>
            </w:r>
          </w:p>
          <w:p>
            <w:pPr>
              <w:spacing w:after="80" w:line="276" w:lineRule="auto"/>
              <w:jc w:val="both"/>
            </w:pPr>
            <w:r>
              <w:rPr>
                <w:rFonts w:ascii="Times New Roman" w:hAnsi="Times New Roman"/>
                <w:b w:val="0"/>
                <w:color w:val="000000"/>
                <w:sz w:val="24"/>
              </w:rPr>
              <w:t>En la sesión conversamos abiertamente sobre nuestras razones para estudiar esta carrera. Varios compañeros mencionaron que la expectativa de inserción laboral y estabilidad económica representa un motor importante. Sin embargo, coincidimos en que la motivación de fondo que sostiene el trabajo durante semanas complejas es el interés por la programación, la resolución de problemas lógicos y el desarrollo de habilidades técnicas nuevas.</w:t>
            </w:r>
          </w:p>
          <w:p>
            <w:pPr>
              <w:spacing w:after="80" w:line="276" w:lineRule="auto"/>
              <w:jc w:val="both"/>
            </w:pPr>
            <w:r>
              <w:rPr>
                <w:rFonts w:ascii="Times New Roman" w:hAnsi="Times New Roman"/>
                <w:b w:val="0"/>
                <w:color w:val="000000"/>
                <w:sz w:val="24"/>
              </w:rPr>
              <w:t>Al debatir sobre la teoría de Abraham Maslow, conectamos sus premisas con nuestra rutina. Notamos que descuidar las horas de descanso, acumular estrés o pasar jornadas extensas frente al monitor deteriora directamente la capacidad de análisis. Por ello, consideramos que mantener hábitos de vida ordenados constituye una condición previa para alcanzar un rendimiento académico óptimo.</w:t>
            </w:r>
          </w:p>
          <w:p>
            <w:pPr>
              <w:spacing w:after="80" w:line="276" w:lineRule="auto"/>
              <w:jc w:val="both"/>
            </w:pPr>
            <w:r>
              <w:rPr>
                <w:rFonts w:ascii="Times New Roman" w:hAnsi="Times New Roman"/>
                <w:b w:val="0"/>
                <w:color w:val="000000"/>
                <w:sz w:val="24"/>
              </w:rPr>
              <w:t>En cuanto a la autonomía, reconocimos los riesgos que plantea el modelo a distancia cuando se aplazan las responsabilidades académicas. En un equipo de trabajo, los retrasos individuales generan sobrecargas colectivas y tensión en las entregas. Acordamos que asumir la propia autonomía significa respetar los compromisos asignados y entregar aportes con margen de tiempo suficiente para revisarlos en conjunto antes del cierre en SIMA.</w:t>
            </w:r>
          </w:p>
        </w:tc>
      </w:tr>
      <w:tr>
        <w:trPr>
          <w:cantSplit w:val="0"/>
          <w:tblHeader w:val="0"/>
        </w:trPr>
        <w:tc>
          <w:tcPr/>
          <w:p w:rsidR="00000000" w:rsidDel="00000000" w:rsidP="00000000" w:rsidRDefault="00000000" w:rsidRPr="00000000" w14:paraId="0000000C">
            <w:pPr>
              <w:spacing w:line="276" w:lineRule="auto" w:after="80"/>
              <w:jc w:val="both"/>
              <w:rPr>
                <w:rFonts w:ascii="Arial" w:cs="Arial" w:eastAsia="Arial" w:hAnsi="Arial"/>
              </w:rPr>
            </w:pPr>
            <w:r/>
            <w:r>
              <w:rPr>
                <w:rFonts w:ascii="Times New Roman" w:hAnsi="Times New Roman"/>
                <w:b/>
                <w:color w:val="000000"/>
                <w:sz w:val="24"/>
              </w:rPr>
              <w:t>Encuentros conceptuales:</w:t>
            </w:r>
          </w:p>
          <w:p>
            <w:pPr>
              <w:spacing w:after="80" w:line="276" w:lineRule="auto"/>
              <w:jc w:val="both"/>
            </w:pPr>
            <w:r>
              <w:rPr>
                <w:rFonts w:ascii="Times New Roman" w:hAnsi="Times New Roman"/>
                <w:b w:val="0"/>
                <w:color w:val="000000"/>
                <w:sz w:val="24"/>
              </w:rPr>
              <w:t>• El cuidado de la salud física y el descanso regular son necesarios para sostener la concentración en asignaturas de alta exigencia lógica.</w:t>
            </w:r>
          </w:p>
          <w:p>
            <w:pPr>
              <w:spacing w:after="80" w:line="276" w:lineRule="auto"/>
              <w:jc w:val="both"/>
            </w:pPr>
            <w:r>
              <w:rPr>
                <w:rFonts w:ascii="Times New Roman" w:hAnsi="Times New Roman"/>
                <w:b w:val="0"/>
                <w:color w:val="000000"/>
                <w:sz w:val="24"/>
              </w:rPr>
              <w:t>• La organización eficiente del CIPAS demanda establecer fechas límite internas con dos días de anticipación respecto al calendario de la plataforma.</w:t>
            </w:r>
          </w:p>
          <w:p>
            <w:pPr>
              <w:spacing w:after="80" w:line="276" w:lineRule="auto"/>
              <w:jc w:val="both"/>
            </w:pPr>
            <w:r>
              <w:rPr>
                <w:rFonts w:ascii="Times New Roman" w:hAnsi="Times New Roman"/>
                <w:b w:val="0"/>
                <w:color w:val="000000"/>
                <w:sz w:val="24"/>
              </w:rPr>
              <w:t>• La solidaridad consiste en orientar y respaldar al compañero que enfrenta dudas técnicas, manteniendo siempre la responsabilidad individual en cada entrega.</w:t>
            </w:r>
          </w:p>
        </w:tc>
      </w:tr>
      <w:tr>
        <w:trPr>
          <w:cantSplit w:val="0"/>
          <w:tblHeader w:val="0"/>
        </w:trPr>
        <w:tc>
          <w:tcPr/>
          <w:p w:rsidR="00000000" w:rsidDel="00000000" w:rsidP="00000000" w:rsidRDefault="00000000" w:rsidRPr="00000000" w14:paraId="0000000D">
            <w:pPr>
              <w:spacing w:line="276" w:lineRule="auto" w:after="80"/>
              <w:jc w:val="both"/>
              <w:rPr>
                <w:rFonts w:ascii="Arial" w:cs="Arial" w:eastAsia="Arial" w:hAnsi="Arial"/>
              </w:rPr>
            </w:pPr>
            <w:r/>
            <w:r>
              <w:rPr>
                <w:rFonts w:ascii="Times New Roman" w:hAnsi="Times New Roman"/>
                <w:b/>
                <w:color w:val="000000"/>
                <w:sz w:val="24"/>
              </w:rPr>
              <w:t>Desencuentros conceptuales:</w:t>
            </w:r>
          </w:p>
          <w:p>
            <w:pPr>
              <w:spacing w:after="80" w:line="276" w:lineRule="auto"/>
              <w:jc w:val="both"/>
            </w:pPr>
            <w:r>
              <w:rPr>
                <w:rFonts w:ascii="Times New Roman" w:hAnsi="Times New Roman"/>
                <w:b w:val="0"/>
                <w:color w:val="000000"/>
                <w:sz w:val="24"/>
              </w:rPr>
              <w:t>• Surgió una discusión inicial sobre los límites de la tolerancia frente a incumplimientos de entrega. Un integrante sostenía que debía concederse flexibilidad amplia debido a imprevistos personales. Tras dialogar, concluimos que la tolerancia implica escuchar las causas de un retraso legítimo, pero exige fijar límites razonables para proteger el esfuerzo y las calificaciones de todo el grupo.</w:t>
            </w:r>
          </w:p>
          <w:p>
            <w:pPr>
              <w:spacing w:after="80" w:line="276" w:lineRule="auto"/>
              <w:jc w:val="both"/>
            </w:pPr>
            <w:r>
              <w:rPr>
                <w:rFonts w:ascii="Times New Roman" w:hAnsi="Times New Roman"/>
                <w:b w:val="0"/>
                <w:color w:val="000000"/>
                <w:sz w:val="24"/>
              </w:rPr>
              <w:t>• Se debatió también sobre el valor ético de estudiar motivados por razones financieras. Algunos consideraban que la vocación técnica debía ser el único motor aceptable. Finalmente acordamos que la búsqueda de estabilidad económica encaja de forma válida en el nivel de seguridad de Maslow y convive sanamente con la pasión por el software.</w:t>
            </w:r>
          </w:p>
        </w:tc>
      </w:tr>
      <w:tr>
        <w:trPr>
          <w:cantSplit w:val="0"/>
          <w:tblHeader w:val="0"/>
        </w:trPr>
        <w:tc>
          <w:tcPr/>
          <w:p w:rsidR="00000000" w:rsidDel="00000000" w:rsidP="00000000" w:rsidRDefault="00000000" w:rsidRPr="00000000" w14:paraId="0000000E">
            <w:pPr>
              <w:spacing w:line="276" w:lineRule="auto" w:after="80"/>
              <w:jc w:val="both"/>
              <w:rPr>
                <w:rFonts w:ascii="Arial" w:cs="Arial" w:eastAsia="Arial" w:hAnsi="Arial"/>
              </w:rPr>
            </w:pPr>
            <w:r/>
            <w:r>
              <w:rPr>
                <w:rFonts w:ascii="Times New Roman" w:hAnsi="Times New Roman"/>
                <w:b/>
                <w:color w:val="000000"/>
                <w:sz w:val="24"/>
              </w:rPr>
              <w:t>Metodología de trabajo (Cómo se hizo la actividad colaborativa):</w:t>
            </w:r>
          </w:p>
          <w:p>
            <w:pPr>
              <w:spacing w:after="80" w:line="276" w:lineRule="auto"/>
              <w:jc w:val="both"/>
            </w:pPr>
            <w:r>
              <w:rPr>
                <w:rFonts w:ascii="Times New Roman" w:hAnsi="Times New Roman"/>
                <w:b w:val="0"/>
                <w:color w:val="000000"/>
                <w:sz w:val="24"/>
              </w:rPr>
              <w:t>Nos conectamos mediante una llamada de voz en Discord, revisamos el módulo Motivación.pdf y redactamos los apartados sobre un archivo compartido en Google Docs. Esteban orientó la discusión a partir de los puntos extraídos en Obsidian, cada miembro aportó ejemplos de su experiencia en las primeras semanas y afinamos la redacción final de manera conjunta.</w:t>
            </w:r>
          </w:p>
        </w:tc>
      </w:tr>
      <w:tr>
        <w:trPr>
          <w:cantSplit w:val="0"/>
          <w:tblHeader w:val="0"/>
        </w:trPr>
        <w:tc>
          <w:tcPr/>
          <w:p w:rsidR="00000000" w:rsidDel="00000000" w:rsidP="00000000" w:rsidRDefault="00000000" w:rsidRPr="00000000" w14:paraId="0000000F">
            <w:pPr>
              <w:spacing w:line="276" w:lineRule="auto" w:after="80"/>
              <w:jc w:val="both"/>
              <w:rPr>
                <w:rFonts w:ascii="Arial" w:cs="Arial" w:eastAsia="Arial" w:hAnsi="Arial"/>
              </w:rPr>
            </w:pPr>
            <w:r/>
            <w:r>
              <w:rPr>
                <w:rFonts w:ascii="Times New Roman" w:hAnsi="Times New Roman"/>
                <w:b/>
                <w:color w:val="000000"/>
                <w:sz w:val="24"/>
              </w:rPr>
              <w:t>Conclusiones:</w:t>
            </w:r>
          </w:p>
          <w:p>
            <w:pPr>
              <w:spacing w:after="80" w:line="276" w:lineRule="auto"/>
              <w:jc w:val="both"/>
            </w:pPr>
            <w:r>
              <w:rPr>
                <w:rFonts w:ascii="Times New Roman" w:hAnsi="Times New Roman"/>
                <w:b w:val="0"/>
                <w:color w:val="000000"/>
                <w:sz w:val="24"/>
              </w:rPr>
              <w:t>• La motivación académica se consolida mediante hábitos estructurados, metas definidas y un proyecto de vida profesional que oriente el esfuerzo cotidiano.</w:t>
            </w:r>
          </w:p>
          <w:p>
            <w:pPr>
              <w:spacing w:after="80" w:line="276" w:lineRule="auto"/>
              <w:jc w:val="both"/>
            </w:pPr>
            <w:r>
              <w:rPr>
                <w:rFonts w:ascii="Times New Roman" w:hAnsi="Times New Roman"/>
                <w:b w:val="0"/>
                <w:color w:val="000000"/>
                <w:sz w:val="24"/>
              </w:rPr>
              <w:t>• El aprendizaje en entornos virtuales exige que el estudiante asuma la dirección de su propio proceso formativo con madurez y constancia.</w:t>
            </w:r>
          </w:p>
          <w:p>
            <w:pPr>
              <w:spacing w:after="80" w:line="276" w:lineRule="auto"/>
              <w:jc w:val="both"/>
            </w:pPr>
            <w:r>
              <w:rPr>
                <w:rFonts w:ascii="Times New Roman" w:hAnsi="Times New Roman"/>
                <w:b w:val="0"/>
                <w:color w:val="000000"/>
                <w:sz w:val="24"/>
              </w:rPr>
              <w:t>• Los valores de autonomía, solidaridad y diálogo estructuran el funcionamiento diario del CIPAS, transformando el grupo en un espacio de colaboración técnica y humana.</w:t>
            </w:r>
          </w:p>
        </w:tc>
      </w:tr>
      <w:tr>
        <w:trPr>
          <w:cantSplit w:val="0"/>
          <w:tblHeader w:val="0"/>
        </w:trPr>
        <w:tc>
          <w:tcPr/>
          <w:p w:rsidR="00000000" w:rsidDel="00000000" w:rsidP="00000000" w:rsidRDefault="00000000" w:rsidRPr="00000000" w14:paraId="00000010">
            <w:pPr>
              <w:spacing w:line="276" w:lineRule="auto" w:after="80"/>
              <w:jc w:val="both"/>
              <w:rPr>
                <w:rFonts w:ascii="Arial" w:cs="Arial" w:eastAsia="Arial" w:hAnsi="Arial"/>
              </w:rPr>
            </w:pPr>
            <w:r/>
            <w:r>
              <w:rPr>
                <w:rFonts w:ascii="Times New Roman" w:hAnsi="Times New Roman"/>
                <w:b/>
                <w:color w:val="000000"/>
                <w:sz w:val="24"/>
              </w:rPr>
              <w:t>Discusiones y recomendaciones:</w:t>
            </w:r>
          </w:p>
          <w:p>
            <w:pPr>
              <w:spacing w:after="80" w:line="276" w:lineRule="auto"/>
              <w:jc w:val="both"/>
            </w:pPr>
            <w:r>
              <w:rPr>
                <w:rFonts w:ascii="Times New Roman" w:hAnsi="Times New Roman"/>
                <w:b w:val="0"/>
                <w:color w:val="000000"/>
                <w:sz w:val="24"/>
              </w:rPr>
              <w:t>Consideramos que el módulo aporta reflexiones muy pertinentes para el inicio de la carrera. Proponemos para la tutoría presencial analizar estrategias de manejo del estrés académico cuando coinciden evaluaciones complejas de varias asignaturas en una misma semana.</w:t>
            </w:r>
          </w:p>
          <w:p>
            <w:pPr>
              <w:spacing w:after="80" w:line="276" w:lineRule="auto"/>
              <w:jc w:val="both"/>
            </w:pPr>
            <w:r>
              <w:rPr>
                <w:rFonts w:ascii="Times New Roman" w:hAnsi="Times New Roman"/>
                <w:b w:val="0"/>
                <w:color w:val="000000"/>
                <w:sz w:val="24"/>
              </w:rPr>
              <w:t>A nivel interno del CIPAS, acordamos utilizar el canal de mensajería para avisar oportunamente cualquier inconveniente que retrase la entrega de un aporte.</w:t>
            </w:r>
          </w:p>
        </w:tc>
      </w:tr>
      <w:tr>
        <w:trPr>
          <w:cantSplit w:val="0"/>
          <w:tblHeader w:val="0"/>
        </w:trPr>
        <w:tc>
          <w:tcPr/>
          <w:p w:rsidR="00000000" w:rsidDel="00000000" w:rsidP="00000000" w:rsidRDefault="00000000" w:rsidRPr="00000000" w14:paraId="00000011">
            <w:pPr>
              <w:spacing w:line="276" w:lineRule="auto" w:after="80"/>
              <w:jc w:val="both"/>
              <w:rPr>
                <w:rFonts w:ascii="Arial" w:cs="Arial" w:eastAsia="Arial" w:hAnsi="Arial"/>
              </w:rPr>
            </w:pPr>
            <w:r/>
            <w:r>
              <w:rPr>
                <w:rFonts w:ascii="Times New Roman" w:hAnsi="Times New Roman"/>
                <w:b/>
                <w:color w:val="000000"/>
                <w:sz w:val="24"/>
              </w:rPr>
              <w:t>Bibliografía:</w:t>
            </w:r>
          </w:p>
          <w:p>
            <w:pPr>
              <w:spacing w:after="80" w:line="276" w:lineRule="auto"/>
              <w:jc w:val="both"/>
            </w:pPr>
            <w:r>
              <w:rPr>
                <w:rFonts w:ascii="Times New Roman" w:hAnsi="Times New Roman"/>
                <w:b w:val="0"/>
                <w:color w:val="000000"/>
                <w:sz w:val="24"/>
              </w:rPr>
              <w:t>Interconsulting Bureau. (2015). Psicología empresarial y comunicación (pp. 163-180). Ediciones de la U.</w:t>
            </w:r>
          </w:p>
          <w:p>
            <w:pPr>
              <w:spacing w:after="80" w:line="276" w:lineRule="auto"/>
              <w:jc w:val="both"/>
            </w:pPr>
            <w:r>
              <w:rPr>
                <w:rFonts w:ascii="Times New Roman" w:hAnsi="Times New Roman"/>
                <w:b w:val="0"/>
                <w:color w:val="000000"/>
                <w:sz w:val="24"/>
              </w:rPr>
              <w:t>Mendoza, E. (2009). La motivación. El Cid Editor | apuntes.</w:t>
            </w:r>
          </w:p>
          <w:p>
            <w:pPr>
              <w:spacing w:after="80" w:line="276" w:lineRule="auto"/>
              <w:jc w:val="both"/>
            </w:pPr>
            <w:r>
              <w:rPr>
                <w:rFonts w:ascii="Times New Roman" w:hAnsi="Times New Roman"/>
                <w:b w:val="0"/>
                <w:color w:val="000000"/>
                <w:sz w:val="24"/>
              </w:rPr>
              <w:t>Mendoza, Y. D. S. (2017). Aprendizaje autónomo y competencias. Dominio de las Ciencias, 3(1), 241-253.</w:t>
            </w:r>
          </w:p>
          <w:p>
            <w:pPr>
              <w:spacing w:after="80" w:line="276" w:lineRule="auto"/>
              <w:jc w:val="both"/>
            </w:pPr>
            <w:r>
              <w:rPr>
                <w:rFonts w:ascii="Times New Roman" w:hAnsi="Times New Roman"/>
                <w:b w:val="0"/>
                <w:color w:val="000000"/>
                <w:sz w:val="24"/>
              </w:rPr>
              <w:t>Universidad de Cartagena - CTEV. (2026). Módulo Didáctico Unidad 4: Motivación — Cátedra Institucional. Facultad de Ingeniería, Universidad de Cartagena.</w:t>
            </w:r>
          </w:p>
          <w:p>
            <w:pPr>
              <w:spacing w:after="80" w:line="276" w:lineRule="auto"/>
              <w:jc w:val="both"/>
            </w:pPr>
            <w:r>
              <w:rPr>
                <w:rFonts w:ascii="Times New Roman" w:hAnsi="Times New Roman"/>
                <w:b w:val="0"/>
                <w:color w:val="000000"/>
                <w:sz w:val="24"/>
              </w:rPr>
              <w:t>VandenBos, G. R. (Ed.). (2015). APA dictionary of psychology (2.ª ed.). American Psychological Association.</w:t>
            </w:r>
          </w:p>
        </w:tc>
      </w:tr>
    </w:tbl>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Instructivo para diligenciar esta plantilla </w:t>
      </w:r>
      <w:hyperlink r:id="rId7">
        <w:r w:rsidDel="00000000" w:rsidR="00000000" w:rsidRPr="00000000">
          <w:rPr>
            <w:color w:val="1155cc"/>
            <w:sz w:val="28"/>
            <w:szCs w:val="28"/>
            <w:u w:val="single"/>
            <w:rtl w:val="0"/>
          </w:rPr>
          <w:t xml:space="preserve">aquí</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headerReference r:id="rId8" w:type="default"/>
      <w:footerReference r:id="rId9" w:type="default"/>
      <w:pgSz w:h="15840" w:w="12240" w:orient="portrait"/>
      <w:pgMar w:bottom="1417" w:top="1985"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-1051559</wp:posOffset>
          </wp:positionH>
          <wp:positionV relativeFrom="paragraph">
            <wp:posOffset>340360</wp:posOffset>
          </wp:positionV>
          <wp:extent cx="3409945" cy="287951"/>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09945" cy="28795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-1899284</wp:posOffset>
          </wp:positionH>
          <wp:positionV relativeFrom="paragraph">
            <wp:posOffset>-563879</wp:posOffset>
          </wp:positionV>
          <wp:extent cx="8639175" cy="11071225"/>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B5160C"/>
    <w:rPr>
      <w:rFonts w:ascii="Times New Roman" w:cs="Times New Roman" w:eastAsia="Times New Roman" w:hAnsi="Times New Roman"/>
      <w:lang w:eastAsia="es-MX"/>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F0AF4"/>
    <w:pPr>
      <w:tabs>
        <w:tab w:val="center" w:pos="4419"/>
        <w:tab w:val="right" w:pos="8838"/>
      </w:tabs>
    </w:pPr>
  </w:style>
  <w:style w:type="character" w:styleId="EncabezadoCar" w:customStyle="1">
    <w:name w:val="Encabezado Car"/>
    <w:basedOn w:val="Fuentedeprrafopredeter"/>
    <w:link w:val="Encabezado"/>
    <w:uiPriority w:val="99"/>
    <w:rsid w:val="009F0AF4"/>
    <w:rPr>
      <w:rFonts w:ascii="Times New Roman" w:cs="Times New Roman" w:eastAsia="Times New Roman" w:hAnsi="Times New Roman"/>
      <w:lang w:eastAsia="es-MX"/>
    </w:rPr>
  </w:style>
  <w:style w:type="paragraph" w:styleId="Piedepgina">
    <w:name w:val="footer"/>
    <w:basedOn w:val="Normal"/>
    <w:link w:val="PiedepginaCar"/>
    <w:uiPriority w:val="99"/>
    <w:unhideWhenUsed w:val="1"/>
    <w:rsid w:val="009F0AF4"/>
    <w:pPr>
      <w:tabs>
        <w:tab w:val="center" w:pos="4419"/>
        <w:tab w:val="right" w:pos="8838"/>
      </w:tabs>
    </w:pPr>
  </w:style>
  <w:style w:type="character" w:styleId="PiedepginaCar" w:customStyle="1">
    <w:name w:val="Pie de página Car"/>
    <w:basedOn w:val="Fuentedeprrafopredeter"/>
    <w:link w:val="Piedepgina"/>
    <w:uiPriority w:val="99"/>
    <w:rsid w:val="009F0AF4"/>
    <w:rPr>
      <w:rFonts w:ascii="Times New Roman" w:cs="Times New Roman" w:eastAsia="Times New Roman" w:hAnsi="Times New Roman"/>
      <w:lang w:eastAsia="es-MX"/>
    </w:rPr>
  </w:style>
  <w:style w:type="paragraph" w:styleId="Prrafodelista">
    <w:name w:val="List Paragraph"/>
    <w:basedOn w:val="Normal"/>
    <w:uiPriority w:val="34"/>
    <w:qFormat w:val="1"/>
    <w:rsid w:val="00C66788"/>
    <w:pPr>
      <w:ind w:left="720"/>
      <w:contextualSpacing w:val="1"/>
    </w:pPr>
    <w:rPr>
      <w:rFonts w:asciiTheme="minorHAnsi" w:cstheme="minorBidi" w:eastAsiaTheme="minorEastAsia" w:hAnsiTheme="minorHAnsi"/>
      <w:sz w:val="21"/>
      <w:lang w:eastAsia="en-US" w:val="es-ES"/>
    </w:rPr>
  </w:style>
  <w:style w:type="table" w:styleId="Tablaconcuadrcula">
    <w:name w:val="Table Grid"/>
    <w:basedOn w:val="Tablanormal"/>
    <w:uiPriority w:val="39"/>
    <w:rsid w:val="00C667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L64vTSO1JVR1-irHFdVAJTo2EPvNX4P6/view?usp=drive_link"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9vUB8JyXtKLvIY0XxcjR8o60g==">CgMxLjAyCGguZ2pkZ3hzOAByITFyZ2lXTGU3TjlfcHlEU3kwbHBCY1FkZ0I2ZlZWQ1RiZQ==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2023-01-25T18:35:00Z</dcterms:created>
  <dc:creator>icread@unicartagena.edu.co</dc:creator>
</cp:coreProperties>
</file>