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48"/>
        <w:tblW w:w="88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false"/>
        </w:trPr>
        <w:tc>
          <w:tcPr>
            <w:tcBorders/>
          </w:tcPr>
          <w:p w14:paraId="00000002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  <w:b/>
                <w:bCs/>
                <w:color w:val="000000" w:themeColor="text1"/>
                <w:sz w:val="28"/>
                <w:szCs w:val="28"/>
                <w:highlight w:val="none"/>
              </w:rPr>
            </w:pPr>
            <w:r/>
            <w:bookmarkStart w:id="0" w:name="_heading=h.gjdgxs"/>
            <w:r/>
            <w:bookmarkEnd w:id="0"/>
            <w:r>
              <w:rPr>
                <w:rFonts w:ascii="Arial" w:hAnsi="Arial" w:eastAsia="Arial" w:cs="Arial"/>
                <w:b/>
                <w:bCs/>
                <w:color w:val="000000" w:themeColor="text1"/>
                <w:sz w:val="28"/>
                <w:szCs w:val="28"/>
                <w:rtl w:val="0"/>
              </w:rPr>
              <w:t xml:space="preserve">Protocolo individual</w:t>
            </w:r>
            <w:r>
              <w:rPr>
                <w:rFonts w:ascii="Arial" w:hAnsi="Arial" w:eastAsia="Arial" w:cs="Arial"/>
                <w:b/>
                <w:bCs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Arial" w:hAnsi="Arial" w:eastAsia="Arial" w:cs="Arial"/>
                <w:b/>
                <w:bCs/>
                <w:color w:val="000000" w:themeColor="text1"/>
                <w:sz w:val="28"/>
                <w:szCs w:val="28"/>
                <w:highlight w:val="none"/>
              </w:rPr>
            </w:r>
          </w:p>
          <w:p w14:paraId="238CCC0E">
            <w:pPr>
              <w:pBdr/>
              <w:spacing w:line="36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8"/>
                <w:szCs w:val="28"/>
                <w:highlight w:val="none"/>
                <w:rtl w:val="0"/>
                <w:lang w:val="es-ES"/>
              </w:rPr>
              <w:t xml:space="preserve">Nombre:</w:t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  <w:highlight w:val="none"/>
                <w:rtl w:val="0"/>
                <w:lang w:val="es-ES"/>
              </w:rPr>
              <w:t xml:space="preserve"> Esteban David Marrugo Jassir</w:t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s-ES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  <w:highlight w:val="none"/>
              </w:rPr>
            </w:r>
          </w:p>
          <w:p w14:paraId="126D6B15">
            <w:pPr>
              <w:pBdr/>
              <w:spacing w:line="36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8"/>
                <w:szCs w:val="28"/>
                <w:highlight w:val="none"/>
                <w:rtl w:val="0"/>
                <w:lang w:val="es-ES"/>
              </w:rPr>
              <w:t xml:space="preserve">Programa:</w:t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  <w:highlight w:val="none"/>
                <w:rtl w:val="0"/>
                <w:lang w:val="es-ES"/>
              </w:rPr>
              <w:t xml:space="preserve"> Ingeniería de Software</w:t>
              <w:br/>
            </w:r>
            <w:r>
              <w:rPr>
                <w:rFonts w:ascii="Arial" w:hAnsi="Arial" w:eastAsia="Arial" w:cs="Arial"/>
                <w:b/>
                <w:bCs/>
                <w:color w:val="000000" w:themeColor="text1"/>
                <w:sz w:val="28"/>
                <w:szCs w:val="28"/>
                <w:highlight w:val="none"/>
                <w:rtl w:val="0"/>
                <w:lang w:val="es-ES"/>
              </w:rPr>
              <w:t xml:space="preserve">Código:</w:t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  <w:highlight w:val="none"/>
                <w:rtl w:val="0"/>
                <w:lang w:val="es-ES"/>
              </w:rPr>
              <w:t xml:space="preserve"> 7502620036</w:t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s-ES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  <w:highlight w:val="none"/>
              </w:rPr>
            </w:r>
          </w:p>
          <w:p w14:paraId="7721008D">
            <w:pPr>
              <w:pBdr/>
              <w:spacing w:line="36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8"/>
                <w:szCs w:val="28"/>
                <w:highlight w:val="none"/>
                <w:rtl w:val="0"/>
                <w:lang w:val="es-ES"/>
              </w:rPr>
              <w:t xml:space="preserve">Semestre: </w:t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  <w:highlight w:val="none"/>
                <w:rtl w:val="0"/>
                <w:lang w:val="es-ES"/>
              </w:rPr>
              <w:t xml:space="preserve">1</w:t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71C31429">
            <w:pPr>
              <w:pBdr/>
              <w:spacing w:line="360" w:lineRule="auto"/>
              <w:ind/>
              <w:jc w:val="both"/>
              <w:rPr/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Descripción del texto o actividad a realizar</w:t>
            </w:r>
            <w:r>
              <w:rPr>
                <w:rFonts w:ascii="Arial" w:hAnsi="Arial" w:eastAsia="Arial" w:cs="Arial"/>
                <w:b/>
                <w:bCs/>
                <w:rtl w:val="0"/>
                <w:lang w:val="es-ES"/>
              </w:rPr>
              <w:t xml:space="preserve">:</w:t>
            </w:r>
            <w:r>
              <w:rPr>
                <w:rFonts w:ascii="Arial" w:hAnsi="Arial" w:eastAsia="Arial" w:cs="Arial"/>
                <w:rtl w:val="0"/>
                <w:lang w:val="es-ES"/>
              </w:rPr>
            </w:r>
            <w:r/>
          </w:p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Lectura y análisis del módulo de la Unidad 4 de Cátedra Institucional sobre Motivación y Valores (Motivación.pdf). La actividad se enfoca en entender qué nos mueve a actuar, revisando las diferencias que plantea la APA entre impulsos, instintos, necesidades y motivos. También estudié la pirámide de Abraham Maslow, la función de los valores éticos como satisfactores directos de nuestras necesidades y los cuatro valores que exige el estudio a distancia (autonomía, solidaridad, diálogo y tolerancia) para avanzar en la carrera de Ingeniería de Software.</w:t>
            </w:r>
          </w:p>
        </w:tc>
      </w:tr>
      <w:tr>
        <w:trPr>
          <w:cantSplit w:val="false"/>
        </w:trPr>
        <w:tc>
          <w:tcPr>
            <w:tcBorders/>
          </w:tcPr>
          <w:p w14:paraId="0854B6C7">
            <w:pPr>
              <w:pBdr/>
              <w:spacing w:line="360" w:lineRule="auto"/>
              <w:ind/>
              <w:jc w:val="both"/>
              <w:rPr/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Palabras claves</w:t>
            </w:r>
            <w:r>
              <w:rPr>
                <w:rFonts w:ascii="Arial" w:hAnsi="Arial" w:eastAsia="Arial" w:cs="Arial"/>
                <w:b/>
                <w:bCs/>
                <w:rtl w:val="0"/>
                <w:lang w:val="es-ES"/>
              </w:rPr>
              <w:t xml:space="preserve">:</w:t>
            </w:r>
            <w:r>
              <w:rPr>
                <w:rFonts w:ascii="Arial" w:hAnsi="Arial" w:eastAsia="Arial" w:cs="Arial"/>
                <w:rtl w:val="0"/>
                <w:lang w:val="es-ES"/>
              </w:rPr>
            </w:r>
            <w:r/>
          </w:p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Pirámide de Maslow, Impulso vs motivo (APA, 2015), Tensión por privación, Satisfactores axiológicos, Autorrealización personal, Autonomía (autos y nomos), Solidaridad y diálogo a distancia.</w:t>
            </w:r>
          </w:p>
        </w:tc>
      </w:tr>
      <w:tr>
        <w:trPr>
          <w:cantSplit w:val="false"/>
        </w:trPr>
        <w:tc>
          <w:tcPr>
            <w:tcBorders/>
          </w:tcPr>
          <w:p w14:paraId="064A77D5">
            <w:pPr>
              <w:pBdr/>
              <w:spacing w:line="36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Objetivos de las lecturas o actividad a realizar</w:t>
            </w:r>
            <w:r>
              <w:rPr>
                <w:rFonts w:ascii="Arial" w:hAnsi="Arial" w:eastAsia="Arial" w:cs="Arial"/>
                <w:b/>
                <w:bCs/>
                <w:rtl w:val="0"/>
                <w:lang w:val="es-ES"/>
              </w:rPr>
              <w:t xml:space="preserve">:</w:t>
            </w:r>
            <w:r>
              <w:rPr>
                <w:b w:val="0"/>
                <w:bCs w:val="0"/>
              </w:rPr>
            </w:r>
          </w:p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Diferenciar qué es un impulso, un instinto, una necesidad y un motivo según la psicología moderna.</w:t>
            </w:r>
          </w:p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Entender los cinco niveles de la pirámide de Maslow y ver cómo influye el cuidado de las necesidades básicas en el rendimiento académico.</w:t>
            </w:r>
          </w:p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Analizar cómo los valores éticos ayudan a resolver necesidades personales y sociales de forma constructiva.</w:t>
            </w:r>
          </w:p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Reflexionar sobre el sentido práctico de la autonomía en la educación a distancia para evitar la postergación de tareas.</w:t>
            </w:r>
          </w:p>
        </w:tc>
      </w:tr>
      <w:tr>
        <w:trPr>
          <w:cantSplit w:val="false"/>
        </w:trPr>
        <w:tc>
          <w:tcPr>
            <w:tcBorders/>
          </w:tcPr>
          <w:p w14:paraId="552FA4B1">
            <w:pPr>
              <w:pBdr/>
              <w:spacing w:line="36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i w:val="0"/>
                <w:sz w:val="24"/>
              </w:rPr>
              <w:t>Conceptos claves y definiciones:</w:t>
            </w:r>
          </w:p>
          <w:p>
            <w:pPr>
              <w:spacing w:after="12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Impulso: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Ganas repentinas de actuar provocadas por una emoción del momento, sin un proceso reflexivo previo.</w:t>
            </w:r>
          </w:p>
          <w:p>
            <w:pPr>
              <w:spacing w:after="12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Instinto: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Fuerza biológica e innata que compartimos todos los individuos de una misma especie. Asegura la supervivencia y no depende de la voluntad consciente.</w:t>
            </w:r>
          </w:p>
          <w:p>
            <w:pPr>
              <w:spacing w:after="12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Necesidad: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Sensación de tensión o desequilibrio físico y psicológico que aparece cuando falta algo indispensable para vivir o estar bien.</w:t>
            </w:r>
          </w:p>
          <w:p>
            <w:pPr>
              <w:spacing w:after="12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Motivo: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Razón consciente que canaliza la energía personal hacia una meta clara y medible.</w:t>
            </w:r>
          </w:p>
          <w:p>
            <w:pPr>
              <w:spacing w:after="12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Escala de Maslow: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Jerarquía de necesidades en cinco peldaños. En los niveles inferiores están las biológicas y de seguridad; en los superiores se ubican la pertenencia social, el reconocimiento y la autorrealización personal.</w:t>
            </w:r>
          </w:p>
          <w:p>
            <w:pPr>
              <w:spacing w:after="12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Valores como satisfactores: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Respuestas y conductas éticas que permiten cubrir necesidades humanas. Por ejemplo, la honestidad y el respeto resuelven la necesidad de vivir en armonía dentro de una comunidad.</w:t>
            </w:r>
          </w:p>
          <w:p>
            <w:pPr>
              <w:spacing w:after="12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Autonomía: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Término de origen griego (autos, uno mismo; nomos, ley o norma). Capacidad individual de fijarse reglas propias y gobernarse con madurez personal.</w:t>
            </w:r>
          </w:p>
        </w:tc>
      </w:tr>
      <w:tr>
        <w:trPr>
          <w:cantSplit w:val="false"/>
          <w:trHeight w:val="368"/>
        </w:trPr>
        <w:tc>
          <w:tcPr>
            <w:tcBorders/>
          </w:tcPr>
          <w:p w14:paraId="588414BE">
            <w:pPr>
              <w:pBdr/>
              <w:spacing w:line="360" w:lineRule="auto"/>
              <w:ind/>
              <w:jc w:val="both"/>
              <w:rPr/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Resumen de la(as) lecturas</w:t>
            </w:r>
            <w:r>
              <w:rPr>
                <w:rFonts w:ascii="Arial" w:hAnsi="Arial" w:eastAsia="Arial" w:cs="Arial"/>
                <w:b/>
                <w:bCs/>
                <w:rtl w:val="0"/>
                <w:lang w:val="es-ES"/>
              </w:rPr>
              <w:t xml:space="preserve">:</w:t>
            </w:r>
            <w:r/>
          </w:p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El documento inicia contrastando la conducta animal con la humana. Mientras los animales responden a pautas instintivas fijas, las personas contamos con razonamiento para plantearnos objetivos y elegir cómo lograrlos. El módulo se apoya en el diccionario de la APA para ordenar cuatro conceptos que solemos usar como sinónimos: el impulso surge de golpe y sin deliberación previa; el instinto es una carga biológica innata; la necesidad representa una privación que desestabiliza el organismo; y el motivo es la energía psicológica enfocada en un propósito concreto.</w:t>
            </w:r>
          </w:p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 partir de ahí, la lectura profundiza en la teoría de Abraham Maslow. El autor explica que el comportamiento humano responde a necesidades insatisfechas organizadas en forma piramidal. En la base se encuentran las fisiológicas (dormir, alimentarse, descansar) y las de seguridad física y económica. Arriba se ubican la filiación social, el reconocimiento ajeno y la autorrealización personal. El punto central de Maslow es que resulta muy difícil aspirar a niveles altos de creatividad o estudio si las necesidades biológicas inmediatas están sin resolver.</w:t>
            </w:r>
          </w:p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En la segunda parte, el texto vincula la motivación con los valores. Plantea que los valores no vienen fijados en los genes; se construyen y aprenden mediante la convivencia social y las vivencias personales. Además, sirven de satisfactores directos de nuestras necesidades. Quien practica la solidaridad y el respeto resuelve sus necesidades de aceptación y pertenencia grupal, mientras que quien recurre a antivalores como el engaño o la indiferencia termina aislado socialmente.</w:t>
            </w:r>
          </w:p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Finalmente, el módulo aterriza estos principios en el modelo de educación superior a distancia. Señala que este sistema requiere estudiantes activos y destaca cuatro valores formativos:</w:t>
              <w:br/>
              <w:t>1. Autonomía: Darse horarios de estudio propios y asumir con madurez las decisiones académicas sin requerir supervisión ajena.</w:t>
              <w:br/>
              <w:t>2. Solidaridad: Apoyar a compañeros con limitaciones de tiempo o conectividad, buscando el progreso colectivo.</w:t>
              <w:br/>
              <w:t>3. Diálogo: Mantener una comunicación fluida y sincera para contrarrestar el aislamiento propio del entorno virtual.</w:t>
              <w:br/>
              <w:t>4. Tolerancia: Comprender y valorar los distintos puntos de vista y ritmos de aprendizaje en el equipo.</w:t>
            </w:r>
          </w:p>
        </w:tc>
      </w:tr>
      <w:tr>
        <w:trPr>
          <w:cantSplit w:val="false"/>
          <w:trHeight w:val="426"/>
        </w:trPr>
        <w:tc>
          <w:tcPr>
            <w:tcBorders/>
          </w:tcPr>
          <w:p w14:paraId="70E5AF10">
            <w:pPr>
              <w:pBdr/>
              <w:spacing w:line="36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Metodología de trabajo:</w:t>
            </w:r>
          </w:p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Descargué el documento Motivación.pdf del campus virtual SIMA y tomé notas en Obsidian. Al revisar la jerarquía de Maslow, la comparé con mi propia rutina universitaria: noté con claridad cómo el cansancio y el desorden en los horarios de sueño me reducen la concentración al programar o al resolver problemas de cálculo. Luego resumí las definiciones de la APA y redacté este protocolo con mis reflexiones personales.</w:t>
            </w:r>
          </w:p>
        </w:tc>
      </w:tr>
      <w:tr>
        <w:trPr>
          <w:cantSplit w:val="false"/>
        </w:trPr>
        <w:tc>
          <w:tcPr>
            <w:tcBorders/>
          </w:tcPr>
          <w:p w14:paraId="4B2C1CD8">
            <w:pPr>
              <w:pBdr/>
              <w:spacing w:line="360" w:lineRule="auto"/>
              <w:ind/>
              <w:jc w:val="both"/>
              <w:rPr/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Conclusiones de la lectura o actividad</w:t>
            </w:r>
            <w:r>
              <w:rPr>
                <w:rFonts w:ascii="Arial" w:hAnsi="Arial" w:eastAsia="Arial" w:cs="Arial"/>
                <w:rtl w:val="0"/>
                <w:lang w:val="es-ES"/>
              </w:rPr>
              <w:t xml:space="preserve">:</w:t>
            </w:r>
            <w:r/>
          </w:p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La motivación real se sostiene con disciplina diaria, metas específicas y hábitos estables, no con arranques emocionales pasajeros.</w:t>
            </w:r>
          </w:p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La pirámide de Maslow confirma que el descanso es una condición técnica para estudiar. Cuando descuido las horas de sueño, mi capacidad de razonamiento abstracto se cae por completo.</w:t>
            </w:r>
          </w:p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La autonomía es el eje de la educación a distancia. Nadie va a vigilar si leo o no los módulos; mi avance en la carrera depende exclusivamente de las normas que yo mismo decida cumplir.</w:t>
            </w:r>
          </w:p>
        </w:tc>
      </w:tr>
      <w:tr>
        <w:trPr>
          <w:cantSplit w:val="false"/>
        </w:trPr>
        <w:tc>
          <w:tcPr>
            <w:tcBorders/>
          </w:tcPr>
          <w:p w14:paraId="09D9535A">
            <w:pPr>
              <w:pBdr/>
              <w:spacing w:line="36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Discusiones y recomendaciones</w:t>
            </w:r>
            <w:r>
              <w:rPr>
                <w:rFonts w:ascii="Arial" w:hAnsi="Arial" w:eastAsia="Arial" w:cs="Arial"/>
                <w:b/>
                <w:bCs/>
                <w:rtl w:val="0"/>
                <w:lang w:val="es-ES"/>
              </w:rPr>
              <w:t xml:space="preserve">: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El texto expone con claridad la jerarquía de necesidades, pero me surge una duda para la tutoría: cuando un estudiante atraviesa problemas económicos o familiares serios y no tiene resuelta su base de seguridad, ¿qué métodos prácticos le permiten conservar la motivación para continuar con sus estudios universitarios?</w:t>
            </w:r>
          </w:p>
          <w:p>
            <w:pPr>
              <w:spacing w:after="12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Como sugerencia para la clase, sería positivo realizar un taller breve donde formulemos nuestras metas semestrales y evaluemos qué valores personales requerimos para cumplirlas.</w:t>
            </w:r>
          </w:p>
        </w:tc>
      </w:tr>
      <w:tr>
        <w:trPr>
          <w:cantSplit w:val="false"/>
        </w:trPr>
        <w:tc>
          <w:tcPr>
            <w:tcBorders/>
          </w:tcPr>
          <w:p w14:paraId="1C1D2FAA">
            <w:pPr>
              <w:pBdr/>
              <w:spacing w:line="36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Bibliografía</w:t>
            </w:r>
            <w:r>
              <w:rPr>
                <w:rFonts w:ascii="Arial" w:hAnsi="Arial" w:eastAsia="Arial" w:cs="Arial"/>
                <w:b/>
                <w:bCs/>
                <w:rtl w:val="0"/>
                <w:lang w:val="es-ES"/>
              </w:rPr>
              <w:t xml:space="preserve">:</w:t>
            </w:r>
            <w:r>
              <w:rPr>
                <w:b w:val="0"/>
                <w:bCs w:val="0"/>
              </w:rPr>
            </w:r>
          </w:p>
          <w:p>
            <w:pPr>
              <w:spacing w:after="12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Interconsulting Bureau.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(2015). Psicología empresarial y comunicación (pp. 163-180). Ediciones de la U.</w:t>
            </w:r>
          </w:p>
          <w:p>
            <w:pPr>
              <w:spacing w:after="12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Mendoza, E.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(2009). La motivación. El Cid Editor | apuntes.</w:t>
            </w:r>
          </w:p>
          <w:p>
            <w:pPr>
              <w:spacing w:after="12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Mendoza, Y. D. S.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(2017). Aprendizaje autónomo y competencias. Dominio de las Ciencias, 3(1), 241-253.</w:t>
            </w:r>
          </w:p>
          <w:p>
            <w:pPr>
              <w:spacing w:after="12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Universidad de Cartagena - CTEV.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(2026). Módulo Didáctico Unidad 4: Motivación — Cátedra Institucional. Facultad de Ingeniería, Universidad de Cartagena.</w:t>
            </w:r>
          </w:p>
          <w:p>
            <w:pPr>
              <w:spacing w:after="12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VandenBos, G. R. (Ed.).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(2015). APA dictionary of psychology (2.ª ed.). American Psychological Association.</w:t>
            </w:r>
          </w:p>
        </w:tc>
      </w:tr>
    </w:tbl>
    <w:p w14:paraId="00000011">
      <w:pPr>
        <w:pBdr/>
        <w:spacing/>
        <w:ind/>
        <w:jc w:val="left"/>
        <w:rPr>
          <w:rFonts w:ascii="Arial" w:hAnsi="Arial" w:eastAsia="Arial" w:cs="Arial"/>
          <w:b/>
          <w:bCs/>
          <w:color w:val="1f3864"/>
        </w:rPr>
      </w:pPr>
      <w:r>
        <w:rPr>
          <w:rFonts w:ascii="Arial" w:hAnsi="Arial" w:eastAsia="Arial" w:cs="Arial"/>
          <w:b/>
          <w:bCs/>
          <w:color w:val="1f3864"/>
        </w:rPr>
      </w:r>
      <w:r>
        <w:rPr>
          <w:rFonts w:ascii="Arial" w:hAnsi="Arial" w:eastAsia="Arial" w:cs="Arial"/>
          <w:b/>
          <w:bCs/>
          <w:color w:val="1f3864"/>
        </w:rPr>
      </w:r>
      <w:r>
        <w:rPr>
          <w:rFonts w:ascii="Arial" w:hAnsi="Arial" w:eastAsia="Arial" w:cs="Arial"/>
          <w:b/>
          <w:bCs/>
          <w:color w:val="1f3864"/>
        </w:rPr>
      </w:r>
    </w:p>
    <w:p w14:paraId="00000012">
      <w:pPr>
        <w:pBdr/>
        <w:spacing/>
        <w:ind/>
        <w:jc w:val="center"/>
        <w:rPr>
          <w:rFonts w:ascii="Arial" w:hAnsi="Arial" w:eastAsia="Arial" w:cs="Arial"/>
          <w:b/>
          <w:bCs/>
          <w:color w:val="1f3864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1f3864"/>
        </w:rPr>
      </w:r>
      <w:r>
        <w:rPr>
          <w:rFonts w:ascii="Arial" w:hAnsi="Arial" w:eastAsia="Arial" w:cs="Arial"/>
          <w:b/>
          <w:bCs/>
          <w:color w:val="1f3864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1417" w:right="1701" w:bottom="1417" w:left="170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15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  <w:rtl w:val="0"/>
      </w:rPr>
      <w:tab/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<wp:simplePos x="0" y="0"/>
              <wp:positionH relativeFrom="column">
                <wp:posOffset>-1051559</wp:posOffset>
              </wp:positionH>
              <wp:positionV relativeFrom="paragraph">
                <wp:posOffset>340360</wp:posOffset>
              </wp:positionV>
              <wp:extent cx="3409945" cy="287951"/>
              <wp:effectExtent l="0" t="0" r="0" b="0"/>
              <wp:wrapNone/>
              <wp:docPr id="2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3409945" cy="28795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0;o:allowoverlap:true;o:allowincell:true;mso-position-horizontal-relative:text;margin-left:-82.80pt;mso-position-horizontal:absolute;mso-position-vertical-relative:text;margin-top:26.80pt;mso-position-vertical:absolute;width:268.50pt;height:22.67pt;mso-wrap-distance-left:9.00pt;mso-wrap-distance-top:0.00pt;mso-wrap-distance-right:9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1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<wp:simplePos x="0" y="0"/>
              <wp:positionH relativeFrom="column">
                <wp:posOffset>-1899284</wp:posOffset>
              </wp:positionH>
              <wp:positionV relativeFrom="paragraph">
                <wp:posOffset>-563879</wp:posOffset>
              </wp:positionV>
              <wp:extent cx="8639175" cy="11071225"/>
              <wp:effectExtent l="0" t="0" r="0" b="0"/>
              <wp:wrapNone/>
              <wp:docPr id="1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8639175" cy="1107122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text;margin-left:-149.55pt;mso-position-horizontal:absolute;mso-position-vertical-relative:text;margin-top:-44.40pt;mso-position-vertical:absolute;width:680.25pt;height:871.75pt;mso-wrap-distance-left:0.00pt;mso-wrap-distance-top:0.00pt;mso-wrap-distance-right:0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  <w:p w14:paraId="0000001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s-CO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5">
    <w:name w:val="Table Grid Light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1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2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1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2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3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5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6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0">
    <w:name w:val="Heading 7"/>
    <w:basedOn w:val="937"/>
    <w:next w:val="937"/>
    <w:link w:val="88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1">
    <w:name w:val="Heading 8"/>
    <w:basedOn w:val="937"/>
    <w:next w:val="937"/>
    <w:link w:val="89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2">
    <w:name w:val="Heading 9"/>
    <w:basedOn w:val="937"/>
    <w:next w:val="937"/>
    <w:link w:val="89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3">
    <w:name w:val="Heading 1 Char"/>
    <w:basedOn w:val="938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4">
    <w:name w:val="Heading 2 Char"/>
    <w:basedOn w:val="938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5">
    <w:name w:val="Heading 3 Char"/>
    <w:basedOn w:val="938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6">
    <w:name w:val="Heading 4 Char"/>
    <w:basedOn w:val="938"/>
    <w:link w:val="9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7">
    <w:name w:val="Heading 5 Char"/>
    <w:basedOn w:val="938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8">
    <w:name w:val="Heading 6 Char"/>
    <w:basedOn w:val="938"/>
    <w:link w:val="9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9">
    <w:name w:val="Heading 7 Char"/>
    <w:basedOn w:val="938"/>
    <w:link w:val="88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0">
    <w:name w:val="Heading 8 Char"/>
    <w:basedOn w:val="938"/>
    <w:link w:val="8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1">
    <w:name w:val="Heading 9 Char"/>
    <w:basedOn w:val="938"/>
    <w:link w:val="8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2">
    <w:name w:val="Title Char"/>
    <w:basedOn w:val="938"/>
    <w:link w:val="93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3">
    <w:name w:val="Subtitle Char"/>
    <w:basedOn w:val="938"/>
    <w:link w:val="9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4">
    <w:name w:val="Quote"/>
    <w:basedOn w:val="937"/>
    <w:next w:val="937"/>
    <w:link w:val="8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5">
    <w:name w:val="Quote Char"/>
    <w:basedOn w:val="938"/>
    <w:link w:val="89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6">
    <w:name w:val="Intense Emphasis"/>
    <w:basedOn w:val="9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7">
    <w:name w:val="Intense Quote"/>
    <w:basedOn w:val="937"/>
    <w:next w:val="937"/>
    <w:link w:val="8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8">
    <w:name w:val="Intense Quote Char"/>
    <w:basedOn w:val="938"/>
    <w:link w:val="8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9">
    <w:name w:val="Intense Reference"/>
    <w:basedOn w:val="9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0">
    <w:name w:val="No Spacing"/>
    <w:basedOn w:val="937"/>
    <w:uiPriority w:val="1"/>
    <w:qFormat/>
    <w:pPr>
      <w:pBdr/>
      <w:spacing w:after="0" w:line="240" w:lineRule="auto"/>
      <w:ind/>
    </w:pPr>
  </w:style>
  <w:style w:type="character" w:styleId="901">
    <w:name w:val="Subtle Emphasis"/>
    <w:basedOn w:val="9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Emphasis"/>
    <w:basedOn w:val="938"/>
    <w:uiPriority w:val="20"/>
    <w:qFormat/>
    <w:pPr>
      <w:pBdr/>
      <w:spacing/>
      <w:ind/>
    </w:pPr>
    <w:rPr>
      <w:i/>
      <w:iCs/>
    </w:rPr>
  </w:style>
  <w:style w:type="character" w:styleId="903">
    <w:name w:val="Strong"/>
    <w:basedOn w:val="938"/>
    <w:uiPriority w:val="22"/>
    <w:qFormat/>
    <w:pPr>
      <w:pBdr/>
      <w:spacing/>
      <w:ind/>
    </w:pPr>
    <w:rPr>
      <w:b/>
      <w:bCs/>
    </w:rPr>
  </w:style>
  <w:style w:type="character" w:styleId="904">
    <w:name w:val="Subtle Reference"/>
    <w:basedOn w:val="9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5">
    <w:name w:val="Book Title"/>
    <w:basedOn w:val="93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6">
    <w:name w:val="Header Char"/>
    <w:basedOn w:val="938"/>
    <w:link w:val="941"/>
    <w:uiPriority w:val="99"/>
    <w:pPr>
      <w:pBdr/>
      <w:spacing/>
      <w:ind/>
    </w:pPr>
  </w:style>
  <w:style w:type="character" w:styleId="907">
    <w:name w:val="Footer Char"/>
    <w:basedOn w:val="938"/>
    <w:link w:val="943"/>
    <w:uiPriority w:val="99"/>
    <w:pPr>
      <w:pBdr/>
      <w:spacing/>
      <w:ind/>
    </w:pPr>
  </w:style>
  <w:style w:type="paragraph" w:styleId="908">
    <w:name w:val="Caption"/>
    <w:basedOn w:val="937"/>
    <w:next w:val="9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9">
    <w:name w:val="footnote text"/>
    <w:basedOn w:val="937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Footnote Text Char"/>
    <w:basedOn w:val="938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footnote reference"/>
    <w:basedOn w:val="938"/>
    <w:uiPriority w:val="99"/>
    <w:semiHidden/>
    <w:unhideWhenUsed/>
    <w:pPr>
      <w:pBdr/>
      <w:spacing/>
      <w:ind/>
    </w:pPr>
    <w:rPr>
      <w:vertAlign w:val="superscript"/>
    </w:rPr>
  </w:style>
  <w:style w:type="paragraph" w:styleId="912">
    <w:name w:val="endnote text"/>
    <w:basedOn w:val="937"/>
    <w:link w:val="9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3">
    <w:name w:val="Endnote Text Char"/>
    <w:basedOn w:val="938"/>
    <w:link w:val="912"/>
    <w:uiPriority w:val="99"/>
    <w:semiHidden/>
    <w:pPr>
      <w:pBdr/>
      <w:spacing/>
      <w:ind/>
    </w:pPr>
    <w:rPr>
      <w:sz w:val="20"/>
      <w:szCs w:val="20"/>
    </w:rPr>
  </w:style>
  <w:style w:type="character" w:styleId="914">
    <w:name w:val="endnote reference"/>
    <w:basedOn w:val="938"/>
    <w:uiPriority w:val="99"/>
    <w:semiHidden/>
    <w:unhideWhenUsed/>
    <w:pPr>
      <w:pBdr/>
      <w:spacing/>
      <w:ind/>
    </w:pPr>
    <w:rPr>
      <w:vertAlign w:val="superscript"/>
    </w:rPr>
  </w:style>
  <w:style w:type="character" w:styleId="915">
    <w:name w:val="Hyperlink"/>
    <w:basedOn w:val="9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6">
    <w:name w:val="FollowedHyperlink"/>
    <w:basedOn w:val="9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7">
    <w:name w:val="toc 1"/>
    <w:basedOn w:val="937"/>
    <w:next w:val="937"/>
    <w:uiPriority w:val="39"/>
    <w:unhideWhenUsed/>
    <w:pPr>
      <w:pBdr/>
      <w:spacing w:after="100"/>
      <w:ind/>
    </w:pPr>
  </w:style>
  <w:style w:type="paragraph" w:styleId="918">
    <w:name w:val="toc 2"/>
    <w:basedOn w:val="937"/>
    <w:next w:val="937"/>
    <w:uiPriority w:val="39"/>
    <w:unhideWhenUsed/>
    <w:pPr>
      <w:pBdr/>
      <w:spacing w:after="100"/>
      <w:ind w:left="220"/>
    </w:pPr>
  </w:style>
  <w:style w:type="paragraph" w:styleId="919">
    <w:name w:val="toc 3"/>
    <w:basedOn w:val="937"/>
    <w:next w:val="937"/>
    <w:uiPriority w:val="39"/>
    <w:unhideWhenUsed/>
    <w:pPr>
      <w:pBdr/>
      <w:spacing w:after="100"/>
      <w:ind w:left="440"/>
    </w:pPr>
  </w:style>
  <w:style w:type="paragraph" w:styleId="920">
    <w:name w:val="toc 4"/>
    <w:basedOn w:val="937"/>
    <w:next w:val="937"/>
    <w:uiPriority w:val="39"/>
    <w:unhideWhenUsed/>
    <w:pPr>
      <w:pBdr/>
      <w:spacing w:after="100"/>
      <w:ind w:left="660"/>
    </w:pPr>
  </w:style>
  <w:style w:type="paragraph" w:styleId="921">
    <w:name w:val="toc 5"/>
    <w:basedOn w:val="937"/>
    <w:next w:val="937"/>
    <w:uiPriority w:val="39"/>
    <w:unhideWhenUsed/>
    <w:pPr>
      <w:pBdr/>
      <w:spacing w:after="100"/>
      <w:ind w:left="880"/>
    </w:pPr>
  </w:style>
  <w:style w:type="paragraph" w:styleId="922">
    <w:name w:val="toc 6"/>
    <w:basedOn w:val="937"/>
    <w:next w:val="937"/>
    <w:uiPriority w:val="39"/>
    <w:unhideWhenUsed/>
    <w:pPr>
      <w:pBdr/>
      <w:spacing w:after="100"/>
      <w:ind w:left="1100"/>
    </w:pPr>
  </w:style>
  <w:style w:type="paragraph" w:styleId="923">
    <w:name w:val="toc 7"/>
    <w:basedOn w:val="937"/>
    <w:next w:val="937"/>
    <w:uiPriority w:val="39"/>
    <w:unhideWhenUsed/>
    <w:pPr>
      <w:pBdr/>
      <w:spacing w:after="100"/>
      <w:ind w:left="1320"/>
    </w:pPr>
  </w:style>
  <w:style w:type="paragraph" w:styleId="924">
    <w:name w:val="toc 8"/>
    <w:basedOn w:val="937"/>
    <w:next w:val="937"/>
    <w:uiPriority w:val="39"/>
    <w:unhideWhenUsed/>
    <w:pPr>
      <w:pBdr/>
      <w:spacing w:after="100"/>
      <w:ind w:left="1540"/>
    </w:pPr>
  </w:style>
  <w:style w:type="paragraph" w:styleId="925">
    <w:name w:val="toc 9"/>
    <w:basedOn w:val="937"/>
    <w:next w:val="937"/>
    <w:uiPriority w:val="39"/>
    <w:unhideWhenUsed/>
    <w:pPr>
      <w:pBdr/>
      <w:spacing w:after="100"/>
      <w:ind w:left="1760"/>
    </w:pPr>
  </w:style>
  <w:style w:type="character" w:styleId="926">
    <w:name w:val="Placeholder Text"/>
    <w:basedOn w:val="938"/>
    <w:uiPriority w:val="99"/>
    <w:semiHidden/>
    <w:pPr>
      <w:pBdr/>
      <w:spacing/>
      <w:ind/>
    </w:pPr>
    <w:rPr>
      <w:color w:val="666666"/>
    </w:rPr>
  </w:style>
  <w:style w:type="paragraph" w:styleId="927">
    <w:name w:val="TOC Heading"/>
    <w:uiPriority w:val="39"/>
    <w:unhideWhenUsed/>
    <w:pPr>
      <w:pBdr/>
      <w:spacing/>
      <w:ind/>
    </w:pPr>
  </w:style>
  <w:style w:type="paragraph" w:styleId="928">
    <w:name w:val="table of figures"/>
    <w:basedOn w:val="937"/>
    <w:next w:val="937"/>
    <w:uiPriority w:val="99"/>
    <w:unhideWhenUsed/>
    <w:pPr>
      <w:pBdr/>
      <w:spacing w:after="0" w:afterAutospacing="0"/>
      <w:ind/>
    </w:pPr>
  </w:style>
  <w:style w:type="table" w:styleId="92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0">
    <w:name w:val="Heading 1"/>
    <w:basedOn w:val="937"/>
    <w:next w:val="937"/>
    <w:pPr>
      <w:keepNext w:val="true"/>
      <w:keepLines w:val="true"/>
      <w:pageBreakBefore w:val="false"/>
      <w:pBdr/>
      <w:spacing w:after="120" w:before="480"/>
      <w:ind/>
    </w:pPr>
    <w:rPr>
      <w:b/>
      <w:bCs/>
      <w:sz w:val="48"/>
      <w:szCs w:val="48"/>
    </w:rPr>
  </w:style>
  <w:style w:type="paragraph" w:styleId="931">
    <w:name w:val="Heading 2"/>
    <w:basedOn w:val="937"/>
    <w:next w:val="937"/>
    <w:pPr>
      <w:keepNext w:val="true"/>
      <w:keepLines w:val="true"/>
      <w:pageBreakBefore w:val="false"/>
      <w:pBdr/>
      <w:spacing w:after="80" w:before="360"/>
      <w:ind/>
    </w:pPr>
    <w:rPr>
      <w:b/>
      <w:bCs/>
      <w:sz w:val="36"/>
      <w:szCs w:val="36"/>
    </w:rPr>
  </w:style>
  <w:style w:type="paragraph" w:styleId="932">
    <w:name w:val="Heading 3"/>
    <w:basedOn w:val="937"/>
    <w:next w:val="937"/>
    <w:pPr>
      <w:keepNext w:val="true"/>
      <w:keepLines w:val="true"/>
      <w:pageBreakBefore w:val="false"/>
      <w:pBdr/>
      <w:spacing w:after="80" w:before="280"/>
      <w:ind/>
    </w:pPr>
    <w:rPr>
      <w:b/>
      <w:bCs/>
      <w:sz w:val="28"/>
      <w:szCs w:val="28"/>
    </w:rPr>
  </w:style>
  <w:style w:type="paragraph" w:styleId="933">
    <w:name w:val="Heading 4"/>
    <w:basedOn w:val="937"/>
    <w:next w:val="937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934">
    <w:name w:val="Heading 5"/>
    <w:basedOn w:val="937"/>
    <w:next w:val="937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935">
    <w:name w:val="Heading 6"/>
    <w:basedOn w:val="937"/>
    <w:next w:val="937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936">
    <w:name w:val="Title"/>
    <w:basedOn w:val="937"/>
    <w:next w:val="937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37" w:default="1">
    <w:name w:val="Normal"/>
    <w:qFormat/>
    <w:pPr>
      <w:pBdr/>
      <w:spacing/>
      <w:ind/>
    </w:pPr>
    <w:rPr>
      <w:rFonts w:ascii="Times New Roman" w:hAnsi="Times New Roman" w:eastAsia="Times New Roman" w:cs="Times New Roman"/>
      <w:lang w:eastAsia="es-MX"/>
    </w:rPr>
  </w:style>
  <w:style w:type="character" w:styleId="938" w:default="1">
    <w:name w:val="Default Paragraph Font"/>
    <w:uiPriority w:val="1"/>
    <w:semiHidden/>
    <w:unhideWhenUsed/>
    <w:pPr>
      <w:pBdr/>
      <w:spacing/>
      <w:ind/>
    </w:pPr>
  </w:style>
  <w:style w:type="table" w:styleId="93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0" w:default="1">
    <w:name w:val="No List"/>
    <w:uiPriority w:val="99"/>
    <w:semiHidden/>
    <w:unhideWhenUsed/>
    <w:pPr>
      <w:pBdr/>
      <w:spacing/>
      <w:ind/>
    </w:pPr>
  </w:style>
  <w:style w:type="paragraph" w:styleId="941">
    <w:name w:val="Header"/>
    <w:basedOn w:val="937"/>
    <w:link w:val="942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942" w:customStyle="1">
    <w:name w:val="Encabezado Car"/>
    <w:basedOn w:val="938"/>
    <w:link w:val="941"/>
    <w:uiPriority w:val="99"/>
    <w:pPr>
      <w:pBdr/>
      <w:spacing/>
      <w:ind/>
    </w:pPr>
    <w:rPr>
      <w:rFonts w:ascii="Times New Roman" w:hAnsi="Times New Roman" w:eastAsia="Times New Roman" w:cs="Times New Roman"/>
      <w:lang w:eastAsia="es-MX"/>
    </w:rPr>
  </w:style>
  <w:style w:type="paragraph" w:styleId="943">
    <w:name w:val="Footer"/>
    <w:basedOn w:val="937"/>
    <w:link w:val="944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944" w:customStyle="1">
    <w:name w:val="Pie de página Car"/>
    <w:basedOn w:val="938"/>
    <w:link w:val="943"/>
    <w:uiPriority w:val="99"/>
    <w:pPr>
      <w:pBdr/>
      <w:spacing/>
      <w:ind/>
    </w:pPr>
    <w:rPr>
      <w:rFonts w:ascii="Times New Roman" w:hAnsi="Times New Roman" w:eastAsia="Times New Roman" w:cs="Times New Roman"/>
      <w:lang w:eastAsia="es-MX"/>
    </w:rPr>
  </w:style>
  <w:style w:type="paragraph" w:styleId="945">
    <w:name w:val="List Paragraph"/>
    <w:basedOn w:val="937"/>
    <w:uiPriority w:val="34"/>
    <w:qFormat/>
    <w:pPr>
      <w:pBdr/>
      <w:spacing/>
      <w:ind w:left="720"/>
      <w:contextualSpacing w:val="true"/>
    </w:pPr>
    <w:rPr>
      <w:rFonts w:asciiTheme="minorHAnsi" w:hAnsiTheme="minorHAnsi" w:eastAsiaTheme="minorEastAsia" w:cstheme="minorBidi"/>
      <w:sz w:val="21"/>
      <w:lang w:val="es-ES" w:eastAsia="en-US"/>
    </w:rPr>
  </w:style>
  <w:style w:type="table" w:styleId="946">
    <w:name w:val="Table Grid"/>
    <w:basedOn w:val="939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7">
    <w:name w:val="Subtitle"/>
    <w:basedOn w:val="937"/>
    <w:next w:val="937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948">
    <w:name w:val="StGen0"/>
    <w:basedOn w:val="929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4+jIGQqVyBVABgunolJsSgRJWA==">CgMxLjAyCGguZ2pkZ3hzOAByITE5Z0FLYU43cWl6cXRwVWJrVFN3QkhwODd4c2JXQTBNTQ==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icread@unicartagena.edu.co</dc:creator>
  <cp:revision>3</cp:revision>
  <dcterms:created xsi:type="dcterms:W3CDTF">2023-01-25T02:41:00Z</dcterms:created>
  <dcterms:modified xsi:type="dcterms:W3CDTF">2026-08-20T02:18:00Z</dcterms:modified>
</cp:coreProperties>
</file>