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54"/>
        <w:tblW w:w="88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false"/>
        </w:trPr>
        <w:tc>
          <w:tcPr>
            <w:tcBorders/>
          </w:tcPr>
          <w:p w14:paraId="00000002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</w:rPr>
            </w:r>
            <w:bookmarkStart w:id="0" w:name="_heading=h.gjdgxs"/>
            <w:r>
              <w:rPr>
                <w:rFonts w:ascii="Times New Roman" w:hAnsi="Times New Roman" w:eastAsia="Times New Roman" w:cs="Times New Roman"/>
              </w:rPr>
            </w:r>
            <w:bookmarkEnd w:id="0"/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rtl w:val="0"/>
              </w:rPr>
              <w:t xml:space="preserve">Protocolo individual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</w:p>
          <w:p w14:paraId="238CCC0E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Nombre: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 Esteban David Marrugo Jassir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r>
          </w:p>
          <w:p w14:paraId="126D6B15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Programa: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 Ingeniería de Software</w:t>
              <w:br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Código: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 7502620036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r>
          </w:p>
          <w:p w14:paraId="7721008D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Semestre: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 w:val="false"/>
          <w:trHeight w:val="2812"/>
        </w:trPr>
        <w:tc>
          <w:tcPr>
            <w:tcBorders/>
          </w:tcPr>
          <w:p w14:paraId="71C31429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Descripción del texto o actividad a realizar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  <w:p w14:paraId="1770209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Lectura y </w:t>
            </w:r>
            <w:r>
              <w:rPr>
                <w:rFonts w:ascii="Times New Roman" w:hAnsi="Times New Roman" w:eastAsia="Times New Roman" w:cs="Times New Roman"/>
                <w:lang w:val="es-ES"/>
              </w:rPr>
              <w:t xml:space="preserve">análisis</w:t>
            </w:r>
            <w:r>
              <w:rPr>
                <w:rFonts w:ascii="Times New Roman" w:hAnsi="Times New Roman" w:eastAsia="Times New Roman" w:cs="Times New Roman"/>
                <w:lang w:val="es-E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del módulo de la Unidad 3 sobre Habilidades Sociales. Analicé los cuatro bloques centrales que </w:t>
            </w:r>
            <w:r>
              <w:rPr>
                <w:rFonts w:ascii="Times New Roman" w:hAnsi="Times New Roman" w:eastAsia="Times New Roman" w:cs="Times New Roman"/>
                <w:lang w:val="es-ES"/>
              </w:rPr>
              <w:t xml:space="preserve">tienen</w:t>
            </w:r>
            <w:r>
              <w:rPr>
                <w:rFonts w:ascii="Times New Roman" w:hAnsi="Times New Roman" w:eastAsia="Times New Roman" w:cs="Times New Roman"/>
                <w:lang w:val="es-E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las relaciones interpersonales: la comunicación como proceso bidireccional y sus </w:t>
            </w:r>
            <w:r>
              <w:rPr>
                <w:rFonts w:ascii="Times New Roman" w:hAnsi="Times New Roman" w:eastAsia="Times New Roman" w:cs="Times New Roman"/>
              </w:rPr>
              <w:t xml:space="preserve">componentes no verbales, la escucha activa más allá del simple acto biológico de oír, la asertividad y sus derechos fundamentales frente a las conductas pasivas o agresivas, y los criterios prácticos para resolver conflictos dentro de un equipo de trabajo.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854B6C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Palabras claves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r>
          </w:p>
          <w:p w14:paraId="09853EC8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rtl w:val="0"/>
                <w:lang w:val="es-ES"/>
              </w:rPr>
            </w:r>
            <w:r>
              <w:t xml:space="preserve">Constructo sociocultural, Escucha activa empática, Derechos asertivos, Conducta pasiva vs agresiva, Comunicación no verbal, Resolución constructiva de conflictos, Sinergia grupal.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654A63A6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Objetivos de las lecturas o actividad a realizar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r>
          </w:p>
          <w:p w14:paraId="3395C7B6">
            <w:pPr>
              <w:pBdr/>
              <w:spacing w:line="360" w:lineRule="auto"/>
              <w:ind w:firstLine="0"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  <w:lang w:val="es-ES"/>
              </w:rPr>
              <w:t xml:space="preserve">Comprender por qué las habilidades sociales dependen siempre del contexto sociocultural y cómo impactan en la calidad de vida y en la salud mental.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  <w:p w14:paraId="29C8D227">
            <w:pPr>
              <w:pBdr/>
              <w:spacing w:line="360" w:lineRule="auto"/>
              <w:ind w:firstLine="0" w:left="0"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  <w:lang w:val="es-ES"/>
              </w:rPr>
              <w:t xml:space="preserve">Distinguir los mensajes que emitimos a través de la voz, los gestos y la postura corporal frente al contenido puramente verbal.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505AE4CA">
            <w:pPr>
              <w:pBdr/>
              <w:spacing w:line="360" w:lineRule="auto"/>
              <w:ind w:firstLine="0" w:left="0"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  <w:lang w:val="es-ES"/>
              </w:rPr>
              <w:t xml:space="preserve">Profundizar en los derechos asertivos para defender posturas propias con firmeza sin atropellar a los demás.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7EA6967B">
            <w:pPr>
              <w:pBdr/>
              <w:spacing w:line="360" w:lineRule="auto"/>
              <w:ind w:firstLine="0" w:left="0"/>
              <w:jc w:val="both"/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  <w:lang w:val="es-ES"/>
              </w:rPr>
              <w:t xml:space="preserve">Analizar las causas habituales de fricción dentro de un equipo y fijar pautas para transformar los conflictos en acuerdos útiles.</w:t>
            </w: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328B60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Conceptos claves y definiciones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  <w:lang w:val="es-ES"/>
              </w:rPr>
              <w:t xml:space="preserve">: 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</w:r>
          </w:p>
          <w:p w14:paraId="60AB13B3">
            <w:pPr>
              <w:pStyle w:val="951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  <w:lang w:val="es-ES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Habilidades sociales: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 trata de la capacidad de aprender conductas y elegir la más acertada según los objetivos perseguidos, las personas involucradas y la situación del momento.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</w:rPr>
            </w:r>
          </w:p>
          <w:p w14:paraId="6241B0A1">
            <w:pPr>
              <w:pStyle w:val="951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Comunicación interpersonal: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es el proceso donde dos o más sujetos interactúan. No es una simple descarga de datos de un emisor a un receptor, implica intercambiar expectativas, emociones e interpretaciones mediante palabras y lenguaje no verbal.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35098CAE">
            <w:pPr>
              <w:pStyle w:val="951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Escucha activa: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Esforzarse voluntariamente por comprender la perspectiva ajena. No se trata de solo escuchar por escuchar, exige entender y saber qué siente el otro y responder demostrando que su mensaje fue recibido y respetado.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62C0036B">
            <w:pPr>
              <w:pStyle w:val="951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Asertividad: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Punto de equilibrio en el trato humano. Es la capacidad de hacer valer los propios criterios, poner límites y decir "no" sin experimentar culpa, manteniendo el respeto absoluto por la dignidad del interlocutor.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63FDA268">
            <w:pPr>
              <w:pStyle w:val="951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Derechos asertivos: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Principios éticos básicos que amparan a toda persona en una relación: derecho a cometer errores, a cambiar de opinión, a pedir información y a ser tomado en serio sin necesidad de justificaciones excesivas.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05A46E09">
            <w:pPr>
              <w:pStyle w:val="951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Conflicto: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Divergencia natural de puntos de vista o necesidades entre personas. Lejos de ser algo destructivo por definición, se convierte en un motor de mejora si se gestiona dialogando y atacando el problema de fondo en lugar de atacar a quien opina distinto.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57C0E063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  <w:lang w:val="es-E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rtl w:val="0"/>
                <w:lang w:val="es-E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  <w:trHeight w:val="368"/>
        </w:trPr>
        <w:tc>
          <w:tcPr>
            <w:tcBorders/>
          </w:tcPr>
          <w:p w14:paraId="588414BE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Resumen de la(as) lecturas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r>
          </w:p>
          <w:p w14:paraId="08D34A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highlight w:val="none"/>
              </w:rPr>
            </w:pPr>
            <w:r>
              <w:t xml:space="preserve">La lectura empieza con una advertencia: el contacto humano es nuestra mayor fuente de alegría, pero también puede ser </w:t>
            </w:r>
            <w:r>
              <w:rPr>
                <w:lang w:val="es-ES"/>
              </w:rPr>
              <w:t xml:space="preserve">la mayor fuente </w:t>
            </w:r>
            <w:r>
              <w:t xml:space="preserve">de estrés y ansiedad</w:t>
            </w:r>
            <w:r>
              <w:t xml:space="preserve">. Esto pasa cuando no sabemos relacionarnos, ya que la falta de competencias sociales lo que nos trae es frustración, aislamiento y agresividad, esto según la lectura. No nacemos con estas habilidades, sino que se van entrenando a lo largo de nuestra vida.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06C2E2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/>
            </w:pPr>
            <w:r>
              <w:t xml:space="preserve">El texto habla de que las palabras son solo una parte del mensaje</w:t>
            </w:r>
            <w:r>
              <w:rPr>
                <w:lang w:val="es-ES"/>
              </w:rPr>
              <w:t xml:space="preserve">,</w:t>
            </w:r>
            <w:r>
              <w:t xml:space="preserve"> el tono de voz, la mirada y</w:t>
            </w:r>
            <w:r>
              <w:t xml:space="preserve"> el lenguaje corporal muchas veces dicen lo contrario a lo que pronunciamos. De aquí viene la relevancia de la escucha activa: si mientras la otra persona habla uno está revisando el teléfono o pensando en qué responder, en realidad no hay un buen diálogo.</w:t>
            </w:r>
            <w:r/>
          </w:p>
          <w:p w14:paraId="0F6721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highlight w:val="none"/>
              </w:rPr>
            </w:pPr>
            <w:r>
              <w:t xml:space="preserve">La sección de asertividad me pareció bastante interesante</w:t>
            </w:r>
            <w:r>
              <w:rPr>
                <w:lang w:val="es-ES"/>
              </w:rPr>
              <w:t xml:space="preserve">,</w:t>
            </w:r>
            <w:r>
              <w:t xml:space="preserve"> </w:t>
            </w:r>
            <w:r>
              <w:rPr>
                <w:lang w:val="es-ES"/>
              </w:rPr>
              <w:t xml:space="preserve">ya que d</w:t>
            </w:r>
            <w:r>
              <w:t xml:space="preserve">a tres perfiles: el pasivo (que se calla todo por miedo a desagradar y termina acumulando resentimiento), el agresivo (que impone su</w:t>
            </w:r>
            <w:r>
              <w:t xml:space="preserve"> voluntad </w:t>
            </w:r>
            <w:r>
              <w:rPr>
                <w:lang w:val="es-ES"/>
              </w:rPr>
              <w:t xml:space="preserve">sin importar</w:t>
            </w:r>
            <w:r>
              <w:rPr>
                <w:lang w:val="es-ES"/>
              </w:rPr>
              <w:t xml:space="preserve"> </w:t>
            </w:r>
            <w:r>
              <w:t xml:space="preserve">a quien tenga al lado) y el asertivo (que expresa sus ideas con calma y claridad). El módulo lista los derechos asertivos universales: derecho a decir "no", a equivocarse, a juzgar las propias prioridades y a pedir lo que uno necesita.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2CB08E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/>
            </w:pPr>
            <w:r>
              <w:t xml:space="preserve">Por último, la guía </w:t>
            </w:r>
            <w:r>
              <w:rPr>
                <w:lang w:val="es-ES"/>
              </w:rPr>
              <w:t xml:space="preserve">también </w:t>
            </w:r>
            <w:r>
              <w:rPr>
                <w:lang w:val="es-ES"/>
              </w:rPr>
              <w:t xml:space="preserve">trata</w:t>
            </w:r>
            <w:r>
              <w:t xml:space="preserve"> el trabajo en equipo y el manejo de desacuerdos. </w:t>
            </w:r>
            <w:r>
              <w:rPr>
                <w:lang w:val="es-ES"/>
              </w:rPr>
              <w:t xml:space="preserve">Dice </w:t>
            </w:r>
            <w:r>
              <w:t xml:space="preserve">que un conflicto mal llevado </w:t>
            </w:r>
            <w:r>
              <w:rPr>
                <w:lang w:val="es-ES"/>
              </w:rPr>
              <w:t xml:space="preserve">puede </w:t>
            </w:r>
            <w:r>
              <w:t xml:space="preserve">alimentarse de suposiciones apresur</w:t>
            </w:r>
            <w:r>
              <w:t xml:space="preserve">adas, interrupciones constantes y señalamientos personales. Para resolverlo, propone una ruta concreta: mirar a los ojos, formular preguntas en vez de acusar, asumir las fallas propias y concentrarse en buscar soluciones prácticas donde ambas partes ganen.</w:t>
            </w:r>
            <w:r/>
          </w:p>
          <w:p w14:paraId="79AE22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/>
            </w:pPr>
            <w:r/>
            <w:r/>
          </w:p>
        </w:tc>
      </w:tr>
      <w:tr>
        <w:trPr>
          <w:cantSplit w:val="false"/>
          <w:trHeight w:val="1399"/>
        </w:trPr>
        <w:tc>
          <w:tcPr>
            <w:tcBorders/>
          </w:tcPr>
          <w:p w14:paraId="2416A9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Metodología de trabaj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o:</w:t>
            </w:r>
            <w:r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r>
          </w:p>
          <w:p w14:paraId="6B36AA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highlight w:val="none"/>
                <w:lang w:val="es-ES"/>
              </w:rPr>
            </w:pPr>
            <w:r>
              <w:rPr>
                <w:lang w:val="es-ES"/>
              </w:rPr>
              <w:t xml:space="preserve">Descargué la guía en la plataforma y la leí. Siempre que hago los trabajos descargo todo el material de estudio y lo almaceno en carpetas, ya que tengo un programa llamado Obsidian donde guardo notas y apuntes, para estudiar co</w:t>
            </w:r>
            <w:r>
              <w:rPr>
                <w:lang w:val="es-ES"/>
              </w:rPr>
              <w:t xml:space="preserve">n mayor efectividad y tener todo a la mano. Luego repaso con NotebookLM, le hago preguntas sobre el tema y, según cómo me vaya, veo si logré entenderlo o si me falta mejorar en algo. Finalmente elaboro el protocolo individual y aporto para el colaborativo.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highlight w:val="none"/>
                <w:lang w:val="es-ES"/>
              </w:rPr>
            </w:r>
          </w:p>
          <w:p w14:paraId="49C329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highlight w:val="none"/>
                <w:lang w:val="es-E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4189A4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Conclusiones de la lectura o actividad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r>
          </w:p>
          <w:p w14:paraId="5443F58E">
            <w:pPr>
              <w:pStyle w:val="951"/>
              <w:numPr>
                <w:ilvl w:val="0"/>
                <w:numId w:val="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 el mundo del software 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ay un mito de que con solo saber programar bien ya está todo resuelto. Pero la verdad es que desarrollar software es un trabajo en equipo, y si uno no sabe escuchar ni ser asertivo, los requerimientos se entienden mal y el proyecto se puede ir a la basura.</w:t>
            </w:r>
            <w:r/>
          </w:p>
          <w:p w14:paraId="42A4B752">
            <w:pPr>
              <w:pStyle w:val="951"/>
              <w:numPr>
                <w:ilvl w:val="0"/>
                <w:numId w:val="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 asertivo también es cuidar la salud mental. Si uno sabe decir que no a tiempo y explicar por qué, se evita cargar con más trabajo del que puede y terminar frustrado sin decir nada.</w:t>
            </w:r>
            <w:r/>
          </w:p>
          <w:p w14:paraId="5EEA70BF">
            <w:pPr>
              <w:pStyle w:val="951"/>
              <w:numPr>
                <w:ilvl w:val="0"/>
                <w:numId w:val="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Los conflictos van a pasar sí o sí cuando trabajan varias personas juntas, eso es normal. Lo importante es dejar el ego a un lado, ya que no se trata de tener la razón, sino de buscar la solución que le sirva mejor al proyecto y a las personas.</w:t>
            </w:r>
            <w:r/>
          </w:p>
          <w:p w14:paraId="4CEB0C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709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  <w:p w14:paraId="3E47F49B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  <w:lang w:val="es-ES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1F8C51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Discusiones y recomendaciones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r>
          </w:p>
          <w:p w14:paraId="1B5BDF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highlight w:val="none"/>
              </w:rPr>
            </w:pPr>
            <w:r>
              <w:t xml:space="preserve">La lectura me pareció buena y me dejó varias cosas claras, pero también me quedó una duda</w:t>
            </w:r>
            <w:r>
              <w:rPr>
                <w:lang w:val="es-ES"/>
              </w:rPr>
              <w:t xml:space="preserve">,</w:t>
            </w:r>
            <w:r>
              <w:t xml:space="preserve"> si en un equipo alguien se cierra totalmente y se pone agresivo o empieza a </w:t>
            </w:r>
            <w:r>
              <w:rPr>
                <w:lang w:val="es-ES"/>
              </w:rPr>
              <w:t xml:space="preserve">molestar </w:t>
            </w:r>
            <w:r>
              <w:t xml:space="preserve">a los demás, ¿cuál sería la mejor forma de bajarle a esa tensión sin quedarse callado ni dañar el proyecto?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highlight w:val="none"/>
              </w:rPr>
            </w:r>
          </w:p>
          <w:p>
            <w:pPr>
              <w:pBdr/>
              <w:spacing w:line="360" w:lineRule="auto"/>
              <w:ind w:right="0" w:firstLine="0" w:left="0"/>
              <w:rPr>
                <w:rFonts w:ascii="Times New Roman" w:hAnsi="Times New Roman" w:eastAsia="Times New Roman" w:cs="Times New Roman"/>
                <w:sz w:val="24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es-ES"/>
              </w:rPr>
              <w:t xml:space="preserve">Como recomendación, creo que seria bueno que en alguna tutoría usted como profesora nos de consejos para mejorar en este aspecto, ya que es uno de los mas importantes y que mas vamos a necesitar en nuestra vida laboral y personal.</w:t>
            </w:r>
            <w:r>
              <w:rPr>
                <w:rFonts w:ascii="Times New Roman" w:hAnsi="Times New Roman" w:eastAsia="Times New Roman" w:cs="Times New Roman"/>
                <w:sz w:val="24"/>
                <w:lang w:val="es-ES"/>
              </w:rPr>
            </w:r>
          </w:p>
          <w:p w14:paraId="1E13E9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1C1D2FAA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Bibliografía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r>
          </w:p>
          <w:p w14:paraId="2299D5E3">
            <w:pPr>
              <w:pStyle w:val="95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García González, A. J.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(2016).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Competencias sociales en las relaciones interpersonales y grupales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Difusora Larousse - Ediciones Pirámide.</w:t>
            </w:r>
            <w:r/>
          </w:p>
          <w:p w14:paraId="6A2AB916">
            <w:pPr>
              <w:pStyle w:val="95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Rosales Jiménez, J. J.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(2013).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Habilidades sociales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McGraw-Hill España.</w:t>
            </w:r>
            <w:r/>
          </w:p>
          <w:p w14:paraId="1D44CA69">
            <w:pPr>
              <w:pStyle w:val="95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Universidad de Cartagena - CTEV.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(2026).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Módulo Didáctico Unidad 3: Habilidades Sociales — Cátedra Institucional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Facultad de Ingeniería, Universidad de Cartagena. Cartagena, Colombia.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273C19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11">
      <w:pPr>
        <w:pBdr/>
        <w:spacing w:line="360" w:lineRule="auto"/>
        <w:ind/>
        <w:jc w:val="left"/>
        <w:rPr>
          <w:rFonts w:ascii="Times New Roman" w:hAnsi="Times New Roman" w:cs="Times New Roman"/>
          <w:b/>
          <w:bCs/>
          <w:color w:val="1f3864"/>
        </w:rPr>
      </w:pPr>
      <w:r>
        <w:rPr>
          <w:rFonts w:ascii="Times New Roman" w:hAnsi="Times New Roman" w:eastAsia="Times New Roman" w:cs="Times New Roman"/>
          <w:b/>
          <w:bCs/>
          <w:color w:val="1f3864"/>
        </w:rPr>
      </w:r>
      <w:r>
        <w:rPr>
          <w:rFonts w:ascii="Times New Roman" w:hAnsi="Times New Roman" w:cs="Times New Roman"/>
          <w:b/>
          <w:bCs/>
          <w:color w:val="1f3864"/>
        </w:rPr>
      </w:r>
      <w:r>
        <w:rPr>
          <w:rFonts w:ascii="Times New Roman" w:hAnsi="Times New Roman" w:cs="Times New Roman"/>
          <w:b/>
          <w:bCs/>
          <w:color w:val="1f3864"/>
        </w:rPr>
      </w:r>
    </w:p>
    <w:p w14:paraId="00000012"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color w:val="1f3864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  <w:b/>
          <w:bCs/>
          <w:color w:val="1f3864"/>
        </w:rPr>
      </w:r>
      <w:r>
        <w:rPr>
          <w:rFonts w:ascii="Times New Roman" w:hAnsi="Times New Roman" w:cs="Times New Roman"/>
          <w:b/>
          <w:bCs/>
          <w:color w:val="1f3864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17" w:right="1701" w:bottom="1417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5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ab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-1051559</wp:posOffset>
              </wp:positionH>
              <wp:positionV relativeFrom="paragraph">
                <wp:posOffset>340360</wp:posOffset>
              </wp:positionV>
              <wp:extent cx="3409945" cy="287951"/>
              <wp:effectExtent l="0" t="0" r="0" b="0"/>
              <wp:wrapNone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3409945" cy="28795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82.80pt;mso-position-horizontal:absolute;mso-position-vertical-relative:text;margin-top:26.80pt;mso-position-vertical:absolute;width:268.50pt;height:22.67pt;mso-wrap-distance-left:9.00pt;mso-wrap-distance-top:0.00pt;mso-wrap-distance-right:9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-1899284</wp:posOffset>
              </wp:positionH>
              <wp:positionV relativeFrom="paragraph">
                <wp:posOffset>-563879</wp:posOffset>
              </wp:positionV>
              <wp:extent cx="8639175" cy="11071225"/>
              <wp:effectExtent l="0" t="0" r="0" b="0"/>
              <wp:wrapNone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8639175" cy="110712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149.55pt;mso-position-horizontal:absolute;mso-position-vertical-relative:text;margin-top:-44.40pt;mso-position-vertical:absolute;width:680.25pt;height:871.75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01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80D5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C28B7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03C51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CE481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E29333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DB92F9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E26A9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-CO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 Light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>
    <w:name w:val="Heading 7"/>
    <w:basedOn w:val="943"/>
    <w:next w:val="943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7">
    <w:name w:val="Heading 8"/>
    <w:basedOn w:val="943"/>
    <w:next w:val="943"/>
    <w:link w:val="8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Heading 9"/>
    <w:basedOn w:val="943"/>
    <w:next w:val="943"/>
    <w:link w:val="8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1 Char"/>
    <w:basedOn w:val="944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944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944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944"/>
    <w:link w:val="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944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944"/>
    <w:link w:val="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944"/>
    <w:link w:val="8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944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94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Title Char"/>
    <w:basedOn w:val="944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9">
    <w:name w:val="Subtitle Char"/>
    <w:basedOn w:val="944"/>
    <w:link w:val="9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943"/>
    <w:next w:val="943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944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9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943"/>
    <w:next w:val="943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944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9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6">
    <w:name w:val="No Spacing"/>
    <w:basedOn w:val="943"/>
    <w:uiPriority w:val="1"/>
    <w:qFormat/>
    <w:pPr>
      <w:pBdr/>
      <w:spacing w:after="0" w:line="240" w:lineRule="auto"/>
      <w:ind/>
    </w:pPr>
  </w:style>
  <w:style w:type="character" w:styleId="907">
    <w:name w:val="Subtle Emphasis"/>
    <w:basedOn w:val="9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Emphasis"/>
    <w:basedOn w:val="944"/>
    <w:uiPriority w:val="20"/>
    <w:qFormat/>
    <w:pPr>
      <w:pBdr/>
      <w:spacing/>
      <w:ind/>
    </w:pPr>
    <w:rPr>
      <w:i/>
      <w:iCs/>
    </w:rPr>
  </w:style>
  <w:style w:type="character" w:styleId="909">
    <w:name w:val="Strong"/>
    <w:basedOn w:val="944"/>
    <w:uiPriority w:val="22"/>
    <w:qFormat/>
    <w:pPr>
      <w:pBdr/>
      <w:spacing/>
      <w:ind/>
    </w:pPr>
    <w:rPr>
      <w:b/>
      <w:bCs/>
    </w:rPr>
  </w:style>
  <w:style w:type="character" w:styleId="910">
    <w:name w:val="Subtle Reference"/>
    <w:basedOn w:val="9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1">
    <w:name w:val="Book Title"/>
    <w:basedOn w:val="94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2">
    <w:name w:val="Header Char"/>
    <w:basedOn w:val="944"/>
    <w:link w:val="947"/>
    <w:uiPriority w:val="99"/>
    <w:pPr>
      <w:pBdr/>
      <w:spacing/>
      <w:ind/>
    </w:pPr>
  </w:style>
  <w:style w:type="character" w:styleId="913">
    <w:name w:val="Footer Char"/>
    <w:basedOn w:val="944"/>
    <w:link w:val="949"/>
    <w:uiPriority w:val="99"/>
    <w:pPr>
      <w:pBdr/>
      <w:spacing/>
      <w:ind/>
    </w:pPr>
  </w:style>
  <w:style w:type="paragraph" w:styleId="914">
    <w:name w:val="Caption"/>
    <w:basedOn w:val="943"/>
    <w:next w:val="9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5">
    <w:name w:val="footnote text"/>
    <w:basedOn w:val="943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Footnote Text Char"/>
    <w:basedOn w:val="944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foot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endnote text"/>
    <w:basedOn w:val="943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Endnote Text Char"/>
    <w:basedOn w:val="944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end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character" w:styleId="921">
    <w:name w:val="Hyperlink"/>
    <w:basedOn w:val="9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2">
    <w:name w:val="FollowedHyperlink"/>
    <w:basedOn w:val="9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3">
    <w:name w:val="toc 1"/>
    <w:basedOn w:val="943"/>
    <w:next w:val="943"/>
    <w:uiPriority w:val="39"/>
    <w:unhideWhenUsed/>
    <w:pPr>
      <w:pBdr/>
      <w:spacing w:after="100"/>
      <w:ind/>
    </w:pPr>
  </w:style>
  <w:style w:type="paragraph" w:styleId="924">
    <w:name w:val="toc 2"/>
    <w:basedOn w:val="943"/>
    <w:next w:val="943"/>
    <w:uiPriority w:val="39"/>
    <w:unhideWhenUsed/>
    <w:pPr>
      <w:pBdr/>
      <w:spacing w:after="100"/>
      <w:ind w:left="220"/>
    </w:pPr>
  </w:style>
  <w:style w:type="paragraph" w:styleId="925">
    <w:name w:val="toc 3"/>
    <w:basedOn w:val="943"/>
    <w:next w:val="943"/>
    <w:uiPriority w:val="39"/>
    <w:unhideWhenUsed/>
    <w:pPr>
      <w:pBdr/>
      <w:spacing w:after="100"/>
      <w:ind w:left="440"/>
    </w:pPr>
  </w:style>
  <w:style w:type="paragraph" w:styleId="926">
    <w:name w:val="toc 4"/>
    <w:basedOn w:val="943"/>
    <w:next w:val="943"/>
    <w:uiPriority w:val="39"/>
    <w:unhideWhenUsed/>
    <w:pPr>
      <w:pBdr/>
      <w:spacing w:after="100"/>
      <w:ind w:left="660"/>
    </w:pPr>
  </w:style>
  <w:style w:type="paragraph" w:styleId="927">
    <w:name w:val="toc 5"/>
    <w:basedOn w:val="943"/>
    <w:next w:val="943"/>
    <w:uiPriority w:val="39"/>
    <w:unhideWhenUsed/>
    <w:pPr>
      <w:pBdr/>
      <w:spacing w:after="100"/>
      <w:ind w:left="880"/>
    </w:pPr>
  </w:style>
  <w:style w:type="paragraph" w:styleId="928">
    <w:name w:val="toc 6"/>
    <w:basedOn w:val="943"/>
    <w:next w:val="943"/>
    <w:uiPriority w:val="39"/>
    <w:unhideWhenUsed/>
    <w:pPr>
      <w:pBdr/>
      <w:spacing w:after="100"/>
      <w:ind w:left="1100"/>
    </w:pPr>
  </w:style>
  <w:style w:type="paragraph" w:styleId="929">
    <w:name w:val="toc 7"/>
    <w:basedOn w:val="943"/>
    <w:next w:val="943"/>
    <w:uiPriority w:val="39"/>
    <w:unhideWhenUsed/>
    <w:pPr>
      <w:pBdr/>
      <w:spacing w:after="100"/>
      <w:ind w:left="1320"/>
    </w:pPr>
  </w:style>
  <w:style w:type="paragraph" w:styleId="930">
    <w:name w:val="toc 8"/>
    <w:basedOn w:val="943"/>
    <w:next w:val="943"/>
    <w:uiPriority w:val="39"/>
    <w:unhideWhenUsed/>
    <w:pPr>
      <w:pBdr/>
      <w:spacing w:after="100"/>
      <w:ind w:left="1540"/>
    </w:pPr>
  </w:style>
  <w:style w:type="paragraph" w:styleId="931">
    <w:name w:val="toc 9"/>
    <w:basedOn w:val="943"/>
    <w:next w:val="943"/>
    <w:uiPriority w:val="39"/>
    <w:unhideWhenUsed/>
    <w:pPr>
      <w:pBdr/>
      <w:spacing w:after="100"/>
      <w:ind w:left="1760"/>
    </w:pPr>
  </w:style>
  <w:style w:type="character" w:styleId="932">
    <w:name w:val="Placeholder Text"/>
    <w:basedOn w:val="944"/>
    <w:uiPriority w:val="99"/>
    <w:semiHidden/>
    <w:pPr>
      <w:pBdr/>
      <w:spacing/>
      <w:ind/>
    </w:pPr>
    <w:rPr>
      <w:color w:val="666666"/>
    </w:rPr>
  </w:style>
  <w:style w:type="paragraph" w:styleId="933">
    <w:name w:val="TOC Heading"/>
    <w:uiPriority w:val="39"/>
    <w:unhideWhenUsed/>
    <w:pPr>
      <w:pBdr/>
      <w:spacing/>
      <w:ind/>
    </w:pPr>
  </w:style>
  <w:style w:type="paragraph" w:styleId="934">
    <w:name w:val="table of figures"/>
    <w:basedOn w:val="943"/>
    <w:next w:val="943"/>
    <w:uiPriority w:val="99"/>
    <w:unhideWhenUsed/>
    <w:pPr>
      <w:pBdr/>
      <w:spacing w:after="0" w:afterAutospacing="0"/>
      <w:ind/>
    </w:pPr>
  </w:style>
  <w:style w:type="table" w:styleId="93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6">
    <w:name w:val="Heading 1"/>
    <w:basedOn w:val="943"/>
    <w:next w:val="943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937">
    <w:name w:val="Heading 2"/>
    <w:basedOn w:val="943"/>
    <w:next w:val="943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938">
    <w:name w:val="Heading 3"/>
    <w:basedOn w:val="943"/>
    <w:next w:val="943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39">
    <w:name w:val="Heading 4"/>
    <w:basedOn w:val="943"/>
    <w:next w:val="943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40">
    <w:name w:val="Heading 5"/>
    <w:basedOn w:val="943"/>
    <w:next w:val="943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41">
    <w:name w:val="Heading 6"/>
    <w:basedOn w:val="943"/>
    <w:next w:val="943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42">
    <w:name w:val="Title"/>
    <w:basedOn w:val="943"/>
    <w:next w:val="943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43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character" w:styleId="944" w:default="1">
    <w:name w:val="Default Paragraph Font"/>
    <w:uiPriority w:val="1"/>
    <w:semiHidden/>
    <w:unhideWhenUsed/>
    <w:pPr>
      <w:pBdr/>
      <w:spacing/>
      <w:ind/>
    </w:pPr>
  </w:style>
  <w:style w:type="table" w:styleId="9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6" w:default="1">
    <w:name w:val="No List"/>
    <w:uiPriority w:val="99"/>
    <w:semiHidden/>
    <w:unhideWhenUsed/>
    <w:pPr>
      <w:pBdr/>
      <w:spacing/>
      <w:ind/>
    </w:pPr>
  </w:style>
  <w:style w:type="paragraph" w:styleId="947">
    <w:name w:val="Header"/>
    <w:basedOn w:val="943"/>
    <w:link w:val="94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48" w:customStyle="1">
    <w:name w:val="Encabezado Car"/>
    <w:basedOn w:val="944"/>
    <w:link w:val="947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949">
    <w:name w:val="Footer"/>
    <w:basedOn w:val="943"/>
    <w:link w:val="950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50" w:customStyle="1">
    <w:name w:val="Pie de página Car"/>
    <w:basedOn w:val="944"/>
    <w:link w:val="949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951">
    <w:name w:val="List Paragraph"/>
    <w:basedOn w:val="943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EastAsia" w:cstheme="minorBidi"/>
      <w:sz w:val="21"/>
      <w:lang w:val="es-ES" w:eastAsia="en-US"/>
    </w:rPr>
  </w:style>
  <w:style w:type="table" w:styleId="952">
    <w:name w:val="Table Grid"/>
    <w:basedOn w:val="94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3">
    <w:name w:val="Subtitle"/>
    <w:basedOn w:val="943"/>
    <w:next w:val="943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54">
    <w:name w:val="StGen0"/>
    <w:basedOn w:val="935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+jIGQqVyBVABgunolJsSgRJWA==">CgMxLjAyCGguZ2pkZ3hzOAByITE5Z0FLYU43cWl6cXRwVWJrVFN3QkhwODd4c2JXQTBNTQ==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icread@unicartagena.edu.co</dc:creator>
  <cp:revision>6</cp:revision>
  <dcterms:created xsi:type="dcterms:W3CDTF">2023-01-25T02:41:00Z</dcterms:created>
  <dcterms:modified xsi:type="dcterms:W3CDTF">2026-09-07T01:16:26Z</dcterms:modified>
</cp:coreProperties>
</file>