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45"/>
        <w:tblW w:w="88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false"/>
        </w:trPr>
        <w:tc>
          <w:tcPr>
            <w:tcBorders/>
          </w:tcPr>
          <w:p w14:paraId="00000002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  <w:b/>
                <w:bCs/>
                <w:color w:val="002060"/>
                <w:sz w:val="28"/>
                <w:szCs w:val="28"/>
                <w:highlight w:val="none"/>
              </w:rPr>
            </w:pPr>
            <w:r/>
            <w:bookmarkStart w:id="0" w:name="_heading=h.gjdgxs"/>
            <w:r/>
            <w:bookmarkEnd w:id="0"/>
            <w:r>
              <w:rPr>
                <w:rFonts w:ascii="Arial" w:hAnsi="Arial" w:eastAsia="Arial" w:cs="Arial"/>
                <w:b/>
                <w:bCs/>
                <w:color w:val="002060"/>
                <w:sz w:val="28"/>
                <w:szCs w:val="28"/>
                <w:rtl w:val="0"/>
              </w:rPr>
              <w:t xml:space="preserve">Protocolo individual</w:t>
            </w:r>
            <w:r>
              <w:rPr>
                <w:rFonts w:ascii="Arial" w:hAnsi="Arial" w:eastAsia="Arial" w:cs="Arial"/>
                <w:b/>
                <w:bCs/>
                <w:color w:val="002060"/>
                <w:sz w:val="28"/>
                <w:szCs w:val="28"/>
              </w:rPr>
            </w:r>
            <w:r>
              <w:rPr>
                <w:rFonts w:ascii="Arial" w:hAnsi="Arial" w:eastAsia="Arial" w:cs="Arial"/>
                <w:b/>
                <w:bCs/>
                <w:color w:val="002060"/>
                <w:sz w:val="28"/>
                <w:szCs w:val="28"/>
                <w:highlight w:val="none"/>
              </w:rPr>
            </w:r>
          </w:p>
          <w:p w14:paraId="238CCC0E">
            <w:pPr>
              <w:pBdr/>
              <w:spacing w:line="36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Nombre: Esteban David Marrugo Jassir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s-ES"/>
              </w:rPr>
            </w:r>
          </w:p>
          <w:p w14:paraId="126D6B15">
            <w:pPr>
              <w:pBdr/>
              <w:spacing w:line="36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Programa: Ingeniería de Software</w:t>
              <w:br/>
              <w:t xml:space="preserve">Código: 7502620036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s-ES"/>
              </w:rPr>
            </w:r>
          </w:p>
          <w:p w14:paraId="7721008D">
            <w:pPr>
              <w:pBdr/>
              <w:spacing w:line="36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Semestre: 1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71C31429">
            <w:pPr>
              <w:pBdr/>
              <w:spacing w:line="360" w:lineRule="auto"/>
              <w:ind/>
              <w:jc w:val="both"/>
              <w:rPr/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Descripción del texto o actividad a realizar</w:t>
            </w:r>
            <w:r>
              <w:rPr>
                <w:rFonts w:ascii="Arial" w:hAnsi="Arial" w:eastAsia="Arial" w:cs="Arial"/>
                <w:b/>
                <w:bCs/>
                <w:rtl w:val="0"/>
                <w:lang w:val="es-ES"/>
              </w:rPr>
              <w:t xml:space="preserve">:</w:t>
            </w:r>
            <w:r>
              <w:rPr>
                <w:rFonts w:ascii="Arial" w:hAnsi="Arial" w:eastAsia="Arial" w:cs="Arial"/>
                <w:rtl w:val="0"/>
                <w:lang w:val="es-ES"/>
              </w:rPr>
              <w:t xml:space="preserve"> </w:t>
            </w:r>
            <w:r>
              <w:rPr>
                <w:rFonts w:ascii="Arial" w:hAnsi="Arial" w:eastAsia="Arial" w:cs="Arial"/>
                <w:rtl w:val="0"/>
                <w:lang w:val="es-ES"/>
              </w:rPr>
              <w:t xml:space="preserve">Lectura y análisis del Módulo de la Unidad 1 sobre la historia, conceptos y características de la Educación a Distancia, y el funcionamiento del Campus SIMA en la asignatura de Metodología de la Educación a </w:t>
            </w:r>
            <w:r>
              <w:rPr>
                <w:rFonts w:ascii="Arial" w:hAnsi="Arial" w:eastAsia="Arial" w:cs="Arial"/>
                <w:rtl w:val="0"/>
                <w:lang w:val="es-ES"/>
              </w:rPr>
              <w:t xml:space="preserve">Distancia.</w:t>
            </w:r>
            <w:r>
              <w:rPr>
                <w:rFonts w:ascii="Arial" w:hAnsi="Arial" w:eastAsia="Arial" w:cs="Arial"/>
                <w:rtl w:val="0"/>
                <w:lang w:val="es-ES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854B6C7">
            <w:pPr>
              <w:pBdr/>
              <w:spacing w:line="360" w:lineRule="auto"/>
              <w:ind/>
              <w:jc w:val="both"/>
              <w:rPr/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Palabras claves</w:t>
            </w:r>
            <w:r>
              <w:rPr>
                <w:rFonts w:ascii="Arial" w:hAnsi="Arial" w:eastAsia="Arial" w:cs="Arial"/>
                <w:b/>
                <w:bCs/>
                <w:rtl w:val="0"/>
                <w:lang w:val="es-ES"/>
              </w:rPr>
              <w:t xml:space="preserve">: </w:t>
            </w:r>
            <w:r>
              <w:rPr>
                <w:rFonts w:ascii="Arial" w:hAnsi="Arial" w:eastAsia="Arial" w:cs="Arial"/>
                <w:rtl w:val="0"/>
                <w:lang w:val="es-ES"/>
              </w:rPr>
              <w:t xml:space="preserve">Educación a Distancia, Era Telemática, Aprendiente Autónomo, Tutor Mediador, Campus SIMA, CIPAS, Autorregulación, Momentos del Aprendizaje.</w:t>
            </w:r>
            <w:r>
              <w:rPr>
                <w:rFonts w:ascii="Arial" w:hAnsi="Arial" w:eastAsia="Arial" w:cs="Arial"/>
                <w:rtl w:val="0"/>
                <w:lang w:val="es-ES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64A77D5">
            <w:pPr>
              <w:pBdr/>
              <w:spacing w:line="36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Objetivos de las lecturas o actividad a realizar</w:t>
            </w:r>
            <w:r>
              <w:rPr>
                <w:rFonts w:ascii="Arial" w:hAnsi="Arial" w:eastAsia="Arial" w:cs="Arial"/>
                <w:b/>
                <w:bCs/>
                <w:rtl w:val="0"/>
                <w:lang w:val="es-ES"/>
              </w:rPr>
              <w:t xml:space="preserve">: </w:t>
            </w: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Comprender la evolución histórica de la Educación a Distancia desde la era de la correspondencia hasta el modelo telemático actual.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4E21ACCB">
            <w:pPr>
              <w:pBdr/>
              <w:spacing w:line="36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  Identificar la transformación de roles entre el aprendiente autónomo y el tutor mediador.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5518C6D6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  Conocer el funcionamiento del Campus SIMA y la dinámica de los 3 momentos del aprendizaje en la Universidad de Cartagena.</w:t>
            </w:r>
            <w:r>
              <w:rPr>
                <w:b w:val="0"/>
                <w:bCs w:val="0"/>
              </w:rPr>
            </w:r>
            <w:r>
              <w:rPr>
                <w:rFonts w:ascii="Arial" w:hAnsi="Arial" w:eastAsia="Arial" w:cs="Arial"/>
                <w:b w:val="0"/>
                <w:bCs w:val="0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552FA4B1">
            <w:pPr>
              <w:pBdr/>
              <w:spacing w:line="360" w:lineRule="auto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Conceptos claves y definiciones</w:t>
            </w:r>
            <w:r>
              <w:rPr>
                <w:rFonts w:ascii="Arial" w:hAnsi="Arial" w:eastAsia="Arial" w:cs="Arial"/>
                <w:b/>
                <w:bCs/>
                <w:rtl w:val="0"/>
                <w:lang w:val="es-ES"/>
              </w:rPr>
              <w:t xml:space="preserve">:                                                                              </w:t>
            </w: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 • </w:t>
            </w:r>
            <w:r>
              <w:rPr>
                <w:rFonts w:ascii="Arial" w:hAnsi="Arial" w:eastAsia="Arial" w:cs="Arial"/>
                <w:b/>
                <w:bCs/>
                <w:rtl w:val="0"/>
                <w:lang w:val="es-ES"/>
              </w:rPr>
              <w:t xml:space="preserve">Educación a Distancia (EAD): </w:t>
            </w: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Es un modelo de estudio flexible que permite al estudiante aprender a su ritmo sin tener que ir todos los días a un aula física, usando plataformas virtuales y tutorías de apoyo.</w:t>
            </w:r>
            <w:r/>
          </w:p>
          <w:p w14:paraId="0852160B">
            <w:pPr>
              <w:pBdr/>
              <w:spacing w:line="360" w:lineRule="auto"/>
              <w:ind/>
              <w:jc w:val="both"/>
              <w:rPr/>
            </w:pP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  • </w:t>
            </w:r>
            <w:r>
              <w:rPr>
                <w:rFonts w:ascii="Arial" w:hAnsi="Arial" w:eastAsia="Arial" w:cs="Arial"/>
                <w:b/>
                <w:bCs/>
                <w:rtl w:val="0"/>
                <w:lang w:val="es-ES"/>
              </w:rPr>
              <w:t xml:space="preserve">Aprendiente Autónomo</w:t>
            </w: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: Es el estudiante que toma la iniciativa, organiza sus propios horarios y crea sus rutinas de estudio sin necesitar que un profesor esté detrás diciéndole qué hacer.</w:t>
            </w:r>
            <w:r/>
          </w:p>
          <w:p w14:paraId="11A48F99">
            <w:pPr>
              <w:pBdr/>
              <w:spacing w:line="360" w:lineRule="auto"/>
              <w:ind/>
              <w:jc w:val="both"/>
              <w:rPr/>
            </w:pP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  • </w:t>
            </w:r>
            <w:r>
              <w:rPr>
                <w:rFonts w:ascii="Arial" w:hAnsi="Arial" w:eastAsia="Arial" w:cs="Arial"/>
                <w:b/>
                <w:bCs/>
                <w:rtl w:val="0"/>
                <w:lang w:val="es-ES"/>
              </w:rPr>
              <w:t xml:space="preserve">Tutor Mediador</w:t>
            </w: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: Es el rol del profesor en esta modalidad, donde en lugar de dar clases magistrales, se encarga de orientar, resolver dudas y guiar el aprendizaje.</w:t>
            </w:r>
            <w:r/>
          </w:p>
          <w:p w14:paraId="11FFCE10">
            <w:pPr>
              <w:pBdr/>
              <w:spacing w:line="360" w:lineRule="auto"/>
              <w:ind/>
              <w:jc w:val="both"/>
              <w:rPr/>
            </w:pP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  • </w:t>
            </w:r>
            <w:r>
              <w:rPr>
                <w:rFonts w:ascii="Arial" w:hAnsi="Arial" w:eastAsia="Arial" w:cs="Arial"/>
                <w:b/>
                <w:bCs/>
                <w:rtl w:val="0"/>
                <w:lang w:val="es-ES"/>
              </w:rPr>
              <w:t xml:space="preserve">B-Learning</w:t>
            </w: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: Es el sistema mixto que usa la UDC, donde se combina el estudio por tu cuenta en la plataforma durante la semana con las tutorías sincrónicas los sábados.</w:t>
            </w:r>
            <w:r/>
          </w:p>
          <w:p w14:paraId="29B8CE9C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  • </w:t>
            </w:r>
            <w:r>
              <w:rPr>
                <w:rFonts w:ascii="Arial" w:hAnsi="Arial" w:eastAsia="Arial" w:cs="Arial"/>
                <w:b/>
                <w:bCs/>
                <w:rtl w:val="0"/>
                <w:lang w:val="es-ES"/>
              </w:rPr>
              <w:t xml:space="preserve">Campus SIMA y CTEV</w:t>
            </w: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: SIMA es la plataforma virtual donde subimos los protocolos y actividades, y el CTEV es el centro de la universidad que administra todo el sistema virtual.</w:t>
            </w:r>
            <w:r>
              <w:rPr>
                <w:rFonts w:ascii="Arial" w:hAnsi="Arial" w:eastAsia="Arial" w:cs="Arial"/>
                <w:b w:val="0"/>
                <w:bCs w:val="0"/>
              </w:rPr>
            </w:r>
            <w:r>
              <w:rPr>
                <w:rFonts w:ascii="Arial" w:hAnsi="Arial" w:eastAsia="Arial" w:cs="Arial"/>
                <w:b w:val="0"/>
                <w:bCs w:val="0"/>
              </w:rPr>
            </w:r>
          </w:p>
        </w:tc>
      </w:tr>
      <w:tr>
        <w:trPr>
          <w:cantSplit w:val="false"/>
          <w:trHeight w:val="368"/>
        </w:trPr>
        <w:tc>
          <w:tcPr>
            <w:tcBorders/>
          </w:tcPr>
          <w:p w14:paraId="588414BE">
            <w:pPr>
              <w:pBdr/>
              <w:spacing w:line="360" w:lineRule="auto"/>
              <w:ind/>
              <w:jc w:val="both"/>
              <w:rPr/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Resumen de la(as) lecturas</w:t>
            </w:r>
            <w:r>
              <w:rPr>
                <w:rFonts w:ascii="Arial" w:hAnsi="Arial" w:eastAsia="Arial" w:cs="Arial"/>
                <w:b/>
                <w:bCs/>
                <w:rtl w:val="0"/>
                <w:lang w:val="es-ES"/>
              </w:rPr>
              <w:t xml:space="preserve">: </w:t>
            </w: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La metodología de la educación a distancia es una de las más flexibles porque le permite al estudiante la flexibilidad de estudiar manejando su tiempo y horarios, nació en 1840 siendo llamada la era de la</w:t>
            </w:r>
            <w:r/>
          </w:p>
          <w:p w14:paraId="10177584">
            <w:pPr>
              <w:pBdr/>
              <w:spacing w:line="360" w:lineRule="auto"/>
              <w:ind/>
              <w:jc w:val="both"/>
              <w:rPr/>
            </w:pP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  correspondencia, luego evolucionaron a dictarse las clases por medios de telecomunicación, y hasta el día de hoy vemos el modelo telemático.</w:t>
            </w:r>
            <w:r/>
          </w:p>
          <w:p w14:paraId="67920D5E">
            <w:pPr>
              <w:pBdr/>
              <w:spacing w:line="360" w:lineRule="auto"/>
              <w:ind/>
              <w:jc w:val="both"/>
              <w:rPr/>
            </w:pP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</w:r>
            <w:r/>
          </w:p>
          <w:p w14:paraId="02B6D0EA">
            <w:pPr>
              <w:pBdr/>
              <w:spacing w:line="360" w:lineRule="auto"/>
              <w:ind/>
              <w:jc w:val="both"/>
              <w:rPr/>
            </w:pP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  Si bien nuestro rol sigue siendo de estudiante, la metodología de estudio es muy diferente a la que se lleva en modalidad presencial, porque aquí no hay un profesor encima supervisandonos a cada rato o diciendo cómo tenemos que hacer  las </w:t>
            </w: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cosas. Aprendemos a nuestra manera, a nuestro ritmo y la mayor ventaja es que controlamos nuestro tiempo, y podemos estudiar casi desde cualquier parte. Claro, eso no quita el hecho de que para estudiar </w:t>
            </w: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correctamente debemos elaborar rutinas de estudio, junto a metodologías que harán más eficaz nuestro aprendizaje.</w:t>
            </w: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</w:r>
            <w:r/>
          </w:p>
          <w:p w14:paraId="475F8670">
            <w:pPr>
              <w:pBdr/>
              <w:spacing w:line="360" w:lineRule="auto"/>
              <w:ind/>
              <w:jc w:val="both"/>
              <w:rPr/>
            </w:pP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</w:r>
            <w:r/>
          </w:p>
          <w:p w14:paraId="1ED8F9D1">
            <w:pPr>
              <w:pBdr/>
              <w:spacing w:line="360" w:lineRule="auto"/>
              <w:ind/>
              <w:jc w:val="both"/>
              <w:rPr/>
            </w:pP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  En la UDC disponemos de 3 momentos, el individual: donde el estudiante estudia los temas dados por el tutor, se encarga de entender y captar las ideas por su cuenta para estar preparado al momento de dar la</w:t>
            </w:r>
            <w:r/>
          </w:p>
          <w:p w14:paraId="4912CF21">
            <w:pPr>
              <w:pBdr/>
              <w:spacing w:line="360" w:lineRule="auto"/>
              <w:ind/>
              <w:jc w:val="both"/>
              <w:rPr/>
            </w:pP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  tutoría sincrónica donde realiza su protocolo individual. El momento colaborativo: aquí el estudiante se reúne con sus compañeros (CIPAS) y realizan actividades académicas dadas por el profesor, que</w:t>
            </w:r>
            <w:r/>
          </w:p>
          <w:p w14:paraId="4FDE0130">
            <w:pPr>
              <w:pBdr/>
              <w:spacing w:line="360" w:lineRule="auto"/>
              <w:ind/>
              <w:jc w:val="both"/>
              <w:rPr/>
            </w:pP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  normalmente suelen ser los protocolos colaborativos y tal vez actividades o parciales. Por último la tutoría: se reúnen de manera sincrónica tanto estudiantes como tutores los sábados dependiendo el horario</w:t>
            </w:r>
            <w:r/>
          </w:p>
          <w:p w14:paraId="4E8E8FC1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  establecido para aclarar dudas, repasar temas y resolver inquietudes.</w:t>
            </w:r>
            <w:r>
              <w:rPr>
                <w:rFonts w:ascii="Arial" w:hAnsi="Arial" w:eastAsia="Arial" w:cs="Arial"/>
                <w:b w:val="0"/>
                <w:bCs w:val="0"/>
              </w:rPr>
            </w:r>
            <w:r>
              <w:rPr>
                <w:rFonts w:ascii="Arial" w:hAnsi="Arial" w:eastAsia="Arial" w:cs="Arial"/>
                <w:b w:val="0"/>
                <w:bCs w:val="0"/>
              </w:rPr>
            </w:r>
          </w:p>
        </w:tc>
      </w:tr>
      <w:tr>
        <w:trPr>
          <w:cantSplit w:val="false"/>
          <w:trHeight w:val="4252"/>
        </w:trPr>
        <w:tc>
          <w:tcPr>
            <w:tcBorders/>
          </w:tcPr>
          <w:p w14:paraId="70E5AF10">
            <w:pPr>
              <w:pBdr/>
              <w:spacing w:line="36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Metodología de trabajo (Cómo realizó la actividad)</w:t>
            </w:r>
            <w:r>
              <w:rPr>
                <w:rFonts w:ascii="Arial" w:hAnsi="Arial" w:eastAsia="Arial" w:cs="Arial"/>
                <w:b/>
                <w:bCs/>
                <w:rtl w:val="0"/>
                <w:lang w:val="es-ES"/>
              </w:rPr>
              <w:t xml:space="preserve">: </w:t>
            </w: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Primeramente revisé cuidadosamente cada apartado de la materia en SIMA para asegurarme de entender cómo funciona, y aprender bien los conceptos, revisé apartados como el glosario, proyecto docente, guía de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10E6EC5D">
            <w:pPr>
              <w:pBdr/>
              <w:spacing w:line="36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  actividades y miré algunos videos. Con eso realizado empecé leyendo la guía de la unidad 1 para afianzar los conceptos y estudiar sobre los temas vistos, luego tomé apuntes de los temas y conceptos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4E7819FE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  importantes en mi plataforma de apuntes llamada Obsidian, realicé un repaso para verificar que entendía los conceptos y proseguí a realizar el protocolo individual.</w:t>
            </w:r>
            <w:r>
              <w:rPr>
                <w:b w:val="0"/>
                <w:bCs w:val="0"/>
              </w:rPr>
            </w:r>
            <w:r>
              <w:rPr>
                <w:rFonts w:ascii="Arial" w:hAnsi="Arial" w:eastAsia="Arial" w:cs="Arial"/>
                <w:b w:val="0"/>
                <w:bCs w:val="0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4B2C1CD8">
            <w:pPr>
              <w:pBdr/>
              <w:spacing w:line="360" w:lineRule="auto"/>
              <w:ind/>
              <w:jc w:val="both"/>
              <w:rPr/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Conclusiones de la lectura o actividad</w:t>
            </w:r>
            <w:r>
              <w:rPr>
                <w:rFonts w:ascii="Arial" w:hAnsi="Arial" w:eastAsia="Arial" w:cs="Arial"/>
                <w:rtl w:val="0"/>
                <w:lang w:val="es-ES"/>
              </w:rPr>
              <w:t xml:space="preserve">: </w:t>
            </w:r>
            <w:r>
              <w:rPr>
                <w:rFonts w:ascii="Arial" w:hAnsi="Arial" w:eastAsia="Arial" w:cs="Arial"/>
                <w:rtl w:val="0"/>
                <w:lang w:val="es-ES"/>
              </w:rPr>
              <w:t xml:space="preserve">Al momento de realizar esta actividad me di cuenta de aspectos muy importantes, la educación a distancia no es tan simple como a veces se piensa</w:t>
            </w:r>
            <w:r>
              <w:rPr>
                <w:rFonts w:ascii="Arial" w:hAnsi="Arial" w:eastAsia="Arial" w:cs="Arial"/>
                <w:rtl w:val="0"/>
                <w:lang w:val="es-ES"/>
              </w:rPr>
              <w:t xml:space="preserve">. Estudiar a distancia no es simplemente estudiar cuando uno quiera, requiere disciplina, responsabilidad y aprender a organizar bien nuestro tiempo con rutinas y hábitos de estudio ya que sin</w:t>
            </w:r>
            <w:r>
              <w:rPr>
                <w:rFonts w:ascii="Arial" w:hAnsi="Arial" w:eastAsia="Arial" w:cs="Arial"/>
                <w:rtl w:val="0"/>
                <w:lang w:val="es-ES"/>
              </w:rPr>
            </w:r>
            <w:r/>
          </w:p>
          <w:p w14:paraId="1CE9D526">
            <w:pPr>
              <w:pBdr/>
              <w:spacing w:line="360" w:lineRule="auto"/>
              <w:ind/>
              <w:jc w:val="both"/>
              <w:rPr/>
            </w:pPr>
            <w:r>
              <w:rPr>
                <w:rFonts w:ascii="Arial" w:hAnsi="Arial" w:eastAsia="Arial" w:cs="Arial"/>
                <w:rtl w:val="0"/>
                <w:lang w:val="es-ES"/>
              </w:rPr>
              <w:t xml:space="preserve">  esto es muy difícil que lleguemos a aprender y a realizar nuestras actividades con éxito. También quedó claro el porqué debemos revisar todo el material con anticipación y tomar apuntes para llegar preparado</w:t>
            </w:r>
            <w:r/>
          </w:p>
          <w:p w14:paraId="03975B6C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  <w:lang w:val="es-ES"/>
              </w:rPr>
              <w:t xml:space="preserve">  a las tutorías, en mi caso descargué todo el material de estudio en una carpeta para cada materia y ahí voy realizando y estudiando según lo requiera.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9D9535A">
            <w:pPr>
              <w:pBdr/>
              <w:spacing w:line="36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Discusiones y recomendaciones</w:t>
            </w:r>
            <w:r>
              <w:rPr>
                <w:rFonts w:ascii="Arial" w:hAnsi="Arial" w:eastAsia="Arial" w:cs="Arial"/>
                <w:b/>
                <w:bCs/>
                <w:rtl w:val="0"/>
                <w:lang w:val="es-ES"/>
              </w:rPr>
              <w:t xml:space="preserve">: </w:t>
            </w: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Los temas de la unidad me quedaron bastante claros y no tengo dudas sobre los conceptos principales. Como recomendación para el trabajo en el equipo CIPAS, me parece clave que organicemos bien los tiempos</w:t>
            </w: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 para armar el protocolo colaborativo sin dejar todo a última hora, y aprovechar la tutoría del sábado para ir directo a las dudas puntuales de las actividades.</w:t>
            </w:r>
            <w:r>
              <w:rPr>
                <w:rFonts w:ascii="Arial" w:hAnsi="Arial" w:eastAsia="Arial" w:cs="Arial"/>
                <w:b w:val="0"/>
                <w:bCs w:val="0"/>
                <w:rtl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1C1D2FAA">
            <w:pPr>
              <w:pBdr/>
              <w:spacing w:line="36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Bibliografía</w:t>
            </w:r>
            <w:r>
              <w:rPr>
                <w:rFonts w:ascii="Arial" w:hAnsi="Arial" w:eastAsia="Arial" w:cs="Arial"/>
                <w:b/>
                <w:bCs/>
                <w:rtl w:val="0"/>
                <w:lang w:val="es-ES"/>
              </w:rPr>
              <w:t xml:space="preserve">: </w:t>
            </w: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• García Aretio, L. (2004). El material didáctico en la educación a distancia. RIED. Revista Iberoamericana de Educación a Distancia.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0EC51287">
            <w:pPr>
              <w:pBdr/>
              <w:spacing w:line="36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  • Universidad de Cartagena - CTEV. (2023). Módulo Didáctico Unidad 1: Metodología de la Educación a Distancia. Cartagena, Colombia.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72DB3607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rtl w:val="0"/>
                <w:lang w:val="es-ES"/>
              </w:rPr>
              <w:t xml:space="preserve">  • Universidad de Cartagena - Facultad de Ingeniería. (2024). Proyecto Docente: Metodologías y Estrategias de la Educación a Distancia (MEAD). Cartagena, Colombia.</w:t>
            </w:r>
            <w:r>
              <w:rPr>
                <w:b w:val="0"/>
                <w:bCs w:val="0"/>
              </w:rPr>
            </w:r>
            <w:r>
              <w:rPr>
                <w:rFonts w:ascii="Arial" w:hAnsi="Arial" w:eastAsia="Arial" w:cs="Arial"/>
                <w:b w:val="0"/>
                <w:bCs w:val="0"/>
              </w:rPr>
            </w:r>
          </w:p>
        </w:tc>
      </w:tr>
    </w:tbl>
    <w:p w14:paraId="00000011">
      <w:pPr>
        <w:pBdr/>
        <w:spacing/>
        <w:ind/>
        <w:jc w:val="left"/>
        <w:rPr>
          <w:rFonts w:ascii="Arial" w:hAnsi="Arial" w:eastAsia="Arial" w:cs="Arial"/>
          <w:b/>
          <w:bCs/>
          <w:color w:val="1f3864"/>
        </w:rPr>
      </w:pPr>
      <w:r>
        <w:rPr>
          <w:rFonts w:ascii="Arial" w:hAnsi="Arial" w:eastAsia="Arial" w:cs="Arial"/>
          <w:b/>
          <w:bCs/>
          <w:color w:val="1f3864"/>
        </w:rPr>
      </w:r>
      <w:r>
        <w:rPr>
          <w:rFonts w:ascii="Arial" w:hAnsi="Arial" w:eastAsia="Arial" w:cs="Arial"/>
          <w:b/>
          <w:bCs/>
          <w:color w:val="1f3864"/>
        </w:rPr>
      </w:r>
    </w:p>
    <w:p w14:paraId="00000012">
      <w:pPr>
        <w:pBdr/>
        <w:spacing/>
        <w:ind/>
        <w:jc w:val="center"/>
        <w:rPr>
          <w:rFonts w:ascii="Arial" w:hAnsi="Arial" w:eastAsia="Arial" w:cs="Arial"/>
          <w:b/>
          <w:bCs/>
          <w:color w:val="1f3864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1f3864"/>
        </w:rPr>
      </w:r>
      <w:r>
        <w:rPr>
          <w:rFonts w:ascii="Arial" w:hAnsi="Arial" w:eastAsia="Arial" w:cs="Arial"/>
          <w:b/>
          <w:bCs/>
          <w:color w:val="1f3864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1417" w:right="1701" w:bottom="1417" w:left="170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20502060505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15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  <w:rtl w:val="0"/>
      </w:rPr>
      <w:tab/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<wp:simplePos x="0" y="0"/>
              <wp:positionH relativeFrom="column">
                <wp:posOffset>-1051559</wp:posOffset>
              </wp:positionH>
              <wp:positionV relativeFrom="paragraph">
                <wp:posOffset>340360</wp:posOffset>
              </wp:positionV>
              <wp:extent cx="3409945" cy="287951"/>
              <wp:effectExtent l="0" t="0" r="0" b="0"/>
              <wp:wrapNone/>
              <wp:docPr id="2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3409945" cy="28795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0;o:allowoverlap:true;o:allowincell:true;mso-position-horizontal-relative:text;margin-left:-82.80pt;mso-position-horizontal:absolute;mso-position-vertical-relative:text;margin-top:26.80pt;mso-position-vertical:absolute;width:268.50pt;height:22.67pt;mso-wrap-distance-left:9.00pt;mso-wrap-distance-top:0.00pt;mso-wrap-distance-right:9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1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column">
                <wp:posOffset>-1899284</wp:posOffset>
              </wp:positionH>
              <wp:positionV relativeFrom="paragraph">
                <wp:posOffset>-563879</wp:posOffset>
              </wp:positionV>
              <wp:extent cx="8639175" cy="11071225"/>
              <wp:effectExtent l="0" t="0" r="0" b="0"/>
              <wp:wrapNone/>
              <wp:docPr id="1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8639175" cy="1107122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-149.55pt;mso-position-horizontal:absolute;mso-position-vertical-relative:text;margin-top:-44.40pt;mso-position-vertical:absolute;width:680.25pt;height:871.75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  <w:p w14:paraId="0000001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s-CO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2">
    <w:name w:val="Table Grid Light"/>
    <w:basedOn w:val="9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1"/>
    <w:basedOn w:val="9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2"/>
    <w:basedOn w:val="9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1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2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3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4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5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6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1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2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3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4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5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6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1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2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3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4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5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6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7">
    <w:name w:val="Heading 7"/>
    <w:basedOn w:val="934"/>
    <w:next w:val="934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34"/>
    <w:next w:val="934"/>
    <w:link w:val="88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34"/>
    <w:next w:val="934"/>
    <w:link w:val="88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Heading 1 Char"/>
    <w:basedOn w:val="935"/>
    <w:link w:val="9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1">
    <w:name w:val="Heading 2 Char"/>
    <w:basedOn w:val="935"/>
    <w:link w:val="9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2">
    <w:name w:val="Heading 3 Char"/>
    <w:basedOn w:val="935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3">
    <w:name w:val="Heading 4 Char"/>
    <w:basedOn w:val="935"/>
    <w:link w:val="9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4">
    <w:name w:val="Heading 5 Char"/>
    <w:basedOn w:val="935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5">
    <w:name w:val="Heading 6 Char"/>
    <w:basedOn w:val="935"/>
    <w:link w:val="9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6">
    <w:name w:val="Heading 7 Char"/>
    <w:basedOn w:val="935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7">
    <w:name w:val="Heading 8 Char"/>
    <w:basedOn w:val="935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Heading 9 Char"/>
    <w:basedOn w:val="935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Title Char"/>
    <w:basedOn w:val="935"/>
    <w:link w:val="93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0">
    <w:name w:val="Subtitle Char"/>
    <w:basedOn w:val="935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1">
    <w:name w:val="Quote"/>
    <w:basedOn w:val="934"/>
    <w:next w:val="934"/>
    <w:link w:val="89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2">
    <w:name w:val="Quote Char"/>
    <w:basedOn w:val="935"/>
    <w:link w:val="89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3">
    <w:name w:val="Intense Emphasis"/>
    <w:basedOn w:val="93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4">
    <w:name w:val="Intense Quote"/>
    <w:basedOn w:val="934"/>
    <w:next w:val="934"/>
    <w:link w:val="8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5">
    <w:name w:val="Intense Quote Char"/>
    <w:basedOn w:val="935"/>
    <w:link w:val="8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6">
    <w:name w:val="Intense Reference"/>
    <w:basedOn w:val="93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7">
    <w:name w:val="No Spacing"/>
    <w:basedOn w:val="934"/>
    <w:uiPriority w:val="1"/>
    <w:qFormat/>
    <w:pPr>
      <w:pBdr/>
      <w:spacing w:after="0" w:line="240" w:lineRule="auto"/>
      <w:ind/>
    </w:pPr>
  </w:style>
  <w:style w:type="character" w:styleId="898">
    <w:name w:val="Subtle Emphasis"/>
    <w:basedOn w:val="93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Emphasis"/>
    <w:basedOn w:val="935"/>
    <w:uiPriority w:val="20"/>
    <w:qFormat/>
    <w:pPr>
      <w:pBdr/>
      <w:spacing/>
      <w:ind/>
    </w:pPr>
    <w:rPr>
      <w:i/>
      <w:iCs/>
    </w:rPr>
  </w:style>
  <w:style w:type="character" w:styleId="900">
    <w:name w:val="Strong"/>
    <w:basedOn w:val="935"/>
    <w:uiPriority w:val="22"/>
    <w:qFormat/>
    <w:pPr>
      <w:pBdr/>
      <w:spacing/>
      <w:ind/>
    </w:pPr>
    <w:rPr>
      <w:b/>
      <w:bCs/>
    </w:rPr>
  </w:style>
  <w:style w:type="character" w:styleId="901">
    <w:name w:val="Subtle Reference"/>
    <w:basedOn w:val="93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2">
    <w:name w:val="Book Title"/>
    <w:basedOn w:val="93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3">
    <w:name w:val="Header Char"/>
    <w:basedOn w:val="935"/>
    <w:link w:val="938"/>
    <w:uiPriority w:val="99"/>
    <w:pPr>
      <w:pBdr/>
      <w:spacing/>
      <w:ind/>
    </w:pPr>
  </w:style>
  <w:style w:type="character" w:styleId="904">
    <w:name w:val="Footer Char"/>
    <w:basedOn w:val="935"/>
    <w:link w:val="940"/>
    <w:uiPriority w:val="99"/>
    <w:pPr>
      <w:pBdr/>
      <w:spacing/>
      <w:ind/>
    </w:pPr>
  </w:style>
  <w:style w:type="paragraph" w:styleId="905">
    <w:name w:val="Caption"/>
    <w:basedOn w:val="934"/>
    <w:next w:val="9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6">
    <w:name w:val="footnote text"/>
    <w:basedOn w:val="934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Footnote Text Char"/>
    <w:basedOn w:val="935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footnote reference"/>
    <w:basedOn w:val="935"/>
    <w:uiPriority w:val="99"/>
    <w:semiHidden/>
    <w:unhideWhenUsed/>
    <w:pPr>
      <w:pBdr/>
      <w:spacing/>
      <w:ind/>
    </w:pPr>
    <w:rPr>
      <w:vertAlign w:val="superscript"/>
    </w:rPr>
  </w:style>
  <w:style w:type="paragraph" w:styleId="909">
    <w:name w:val="endnote text"/>
    <w:basedOn w:val="934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Endnote Text Char"/>
    <w:basedOn w:val="935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endnote reference"/>
    <w:basedOn w:val="935"/>
    <w:uiPriority w:val="99"/>
    <w:semiHidden/>
    <w:unhideWhenUsed/>
    <w:pPr>
      <w:pBdr/>
      <w:spacing/>
      <w:ind/>
    </w:pPr>
    <w:rPr>
      <w:vertAlign w:val="superscript"/>
    </w:rPr>
  </w:style>
  <w:style w:type="character" w:styleId="912">
    <w:name w:val="Hyperlink"/>
    <w:basedOn w:val="93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3">
    <w:name w:val="FollowedHyperlink"/>
    <w:basedOn w:val="93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4">
    <w:name w:val="toc 1"/>
    <w:basedOn w:val="934"/>
    <w:next w:val="934"/>
    <w:uiPriority w:val="39"/>
    <w:unhideWhenUsed/>
    <w:pPr>
      <w:pBdr/>
      <w:spacing w:after="100"/>
      <w:ind/>
    </w:pPr>
  </w:style>
  <w:style w:type="paragraph" w:styleId="915">
    <w:name w:val="toc 2"/>
    <w:basedOn w:val="934"/>
    <w:next w:val="934"/>
    <w:uiPriority w:val="39"/>
    <w:unhideWhenUsed/>
    <w:pPr>
      <w:pBdr/>
      <w:spacing w:after="100"/>
      <w:ind w:left="220"/>
    </w:pPr>
  </w:style>
  <w:style w:type="paragraph" w:styleId="916">
    <w:name w:val="toc 3"/>
    <w:basedOn w:val="934"/>
    <w:next w:val="934"/>
    <w:uiPriority w:val="39"/>
    <w:unhideWhenUsed/>
    <w:pPr>
      <w:pBdr/>
      <w:spacing w:after="100"/>
      <w:ind w:left="440"/>
    </w:pPr>
  </w:style>
  <w:style w:type="paragraph" w:styleId="917">
    <w:name w:val="toc 4"/>
    <w:basedOn w:val="934"/>
    <w:next w:val="934"/>
    <w:uiPriority w:val="39"/>
    <w:unhideWhenUsed/>
    <w:pPr>
      <w:pBdr/>
      <w:spacing w:after="100"/>
      <w:ind w:left="660"/>
    </w:pPr>
  </w:style>
  <w:style w:type="paragraph" w:styleId="918">
    <w:name w:val="toc 5"/>
    <w:basedOn w:val="934"/>
    <w:next w:val="934"/>
    <w:uiPriority w:val="39"/>
    <w:unhideWhenUsed/>
    <w:pPr>
      <w:pBdr/>
      <w:spacing w:after="100"/>
      <w:ind w:left="880"/>
    </w:pPr>
  </w:style>
  <w:style w:type="paragraph" w:styleId="919">
    <w:name w:val="toc 6"/>
    <w:basedOn w:val="934"/>
    <w:next w:val="934"/>
    <w:uiPriority w:val="39"/>
    <w:unhideWhenUsed/>
    <w:pPr>
      <w:pBdr/>
      <w:spacing w:after="100"/>
      <w:ind w:left="1100"/>
    </w:pPr>
  </w:style>
  <w:style w:type="paragraph" w:styleId="920">
    <w:name w:val="toc 7"/>
    <w:basedOn w:val="934"/>
    <w:next w:val="934"/>
    <w:uiPriority w:val="39"/>
    <w:unhideWhenUsed/>
    <w:pPr>
      <w:pBdr/>
      <w:spacing w:after="100"/>
      <w:ind w:left="1320"/>
    </w:pPr>
  </w:style>
  <w:style w:type="paragraph" w:styleId="921">
    <w:name w:val="toc 8"/>
    <w:basedOn w:val="934"/>
    <w:next w:val="934"/>
    <w:uiPriority w:val="39"/>
    <w:unhideWhenUsed/>
    <w:pPr>
      <w:pBdr/>
      <w:spacing w:after="100"/>
      <w:ind w:left="1540"/>
    </w:pPr>
  </w:style>
  <w:style w:type="paragraph" w:styleId="922">
    <w:name w:val="toc 9"/>
    <w:basedOn w:val="934"/>
    <w:next w:val="934"/>
    <w:uiPriority w:val="39"/>
    <w:unhideWhenUsed/>
    <w:pPr>
      <w:pBdr/>
      <w:spacing w:after="100"/>
      <w:ind w:left="1760"/>
    </w:pPr>
  </w:style>
  <w:style w:type="character" w:styleId="923">
    <w:name w:val="Placeholder Text"/>
    <w:basedOn w:val="935"/>
    <w:uiPriority w:val="99"/>
    <w:semiHidden/>
    <w:pPr>
      <w:pBdr/>
      <w:spacing/>
      <w:ind/>
    </w:pPr>
    <w:rPr>
      <w:color w:val="666666"/>
    </w:rPr>
  </w:style>
  <w:style w:type="paragraph" w:styleId="924">
    <w:name w:val="TOC Heading"/>
    <w:uiPriority w:val="39"/>
    <w:unhideWhenUsed/>
    <w:pPr>
      <w:pBdr/>
      <w:spacing/>
      <w:ind/>
    </w:pPr>
  </w:style>
  <w:style w:type="paragraph" w:styleId="925">
    <w:name w:val="table of figures"/>
    <w:basedOn w:val="934"/>
    <w:next w:val="934"/>
    <w:uiPriority w:val="99"/>
    <w:unhideWhenUsed/>
    <w:pPr>
      <w:pBdr/>
      <w:spacing w:after="0" w:afterAutospacing="0"/>
      <w:ind/>
    </w:pPr>
  </w:style>
  <w:style w:type="table" w:styleId="926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Heading 1"/>
    <w:basedOn w:val="934"/>
    <w:next w:val="934"/>
    <w:pPr>
      <w:keepNext w:val="true"/>
      <w:keepLines w:val="true"/>
      <w:pageBreakBefore w:val="false"/>
      <w:pBdr/>
      <w:spacing w:after="120" w:before="480"/>
      <w:ind/>
    </w:pPr>
    <w:rPr>
      <w:b/>
      <w:bCs/>
      <w:sz w:val="48"/>
      <w:szCs w:val="48"/>
    </w:rPr>
  </w:style>
  <w:style w:type="paragraph" w:styleId="928">
    <w:name w:val="Heading 2"/>
    <w:basedOn w:val="934"/>
    <w:next w:val="934"/>
    <w:pPr>
      <w:keepNext w:val="true"/>
      <w:keepLines w:val="true"/>
      <w:pageBreakBefore w:val="false"/>
      <w:pBdr/>
      <w:spacing w:after="80" w:before="360"/>
      <w:ind/>
    </w:pPr>
    <w:rPr>
      <w:b/>
      <w:bCs/>
      <w:sz w:val="36"/>
      <w:szCs w:val="36"/>
    </w:rPr>
  </w:style>
  <w:style w:type="paragraph" w:styleId="929">
    <w:name w:val="Heading 3"/>
    <w:basedOn w:val="934"/>
    <w:next w:val="934"/>
    <w:pPr>
      <w:keepNext w:val="true"/>
      <w:keepLines w:val="true"/>
      <w:pageBreakBefore w:val="false"/>
      <w:pBdr/>
      <w:spacing w:after="80" w:before="280"/>
      <w:ind/>
    </w:pPr>
    <w:rPr>
      <w:b/>
      <w:bCs/>
      <w:sz w:val="28"/>
      <w:szCs w:val="28"/>
    </w:rPr>
  </w:style>
  <w:style w:type="paragraph" w:styleId="930">
    <w:name w:val="Heading 4"/>
    <w:basedOn w:val="934"/>
    <w:next w:val="934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931">
    <w:name w:val="Heading 5"/>
    <w:basedOn w:val="934"/>
    <w:next w:val="934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932">
    <w:name w:val="Heading 6"/>
    <w:basedOn w:val="934"/>
    <w:next w:val="934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933">
    <w:name w:val="Title"/>
    <w:basedOn w:val="934"/>
    <w:next w:val="934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34" w:default="1">
    <w:name w:val="Normal"/>
    <w:qFormat/>
    <w:pPr>
      <w:pBdr/>
      <w:spacing/>
      <w:ind/>
    </w:pPr>
    <w:rPr>
      <w:rFonts w:ascii="Times New Roman" w:hAnsi="Times New Roman" w:eastAsia="Times New Roman" w:cs="Times New Roman"/>
      <w:lang w:eastAsia="es-MX"/>
    </w:rPr>
  </w:style>
  <w:style w:type="character" w:styleId="935" w:default="1">
    <w:name w:val="Default Paragraph Font"/>
    <w:uiPriority w:val="1"/>
    <w:semiHidden/>
    <w:unhideWhenUsed/>
    <w:pPr>
      <w:pBdr/>
      <w:spacing/>
      <w:ind/>
    </w:pPr>
  </w:style>
  <w:style w:type="table" w:styleId="93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7" w:default="1">
    <w:name w:val="No List"/>
    <w:uiPriority w:val="99"/>
    <w:semiHidden/>
    <w:unhideWhenUsed/>
    <w:pPr>
      <w:pBdr/>
      <w:spacing/>
      <w:ind/>
    </w:pPr>
  </w:style>
  <w:style w:type="paragraph" w:styleId="938">
    <w:name w:val="Header"/>
    <w:basedOn w:val="934"/>
    <w:link w:val="939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939" w:customStyle="1">
    <w:name w:val="Encabezado Car"/>
    <w:basedOn w:val="935"/>
    <w:link w:val="938"/>
    <w:uiPriority w:val="99"/>
    <w:pPr>
      <w:pBdr/>
      <w:spacing/>
      <w:ind/>
    </w:pPr>
    <w:rPr>
      <w:rFonts w:ascii="Times New Roman" w:hAnsi="Times New Roman" w:eastAsia="Times New Roman" w:cs="Times New Roman"/>
      <w:lang w:eastAsia="es-MX"/>
    </w:rPr>
  </w:style>
  <w:style w:type="paragraph" w:styleId="940">
    <w:name w:val="Footer"/>
    <w:basedOn w:val="934"/>
    <w:link w:val="94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941" w:customStyle="1">
    <w:name w:val="Pie de página Car"/>
    <w:basedOn w:val="935"/>
    <w:link w:val="940"/>
    <w:uiPriority w:val="99"/>
    <w:pPr>
      <w:pBdr/>
      <w:spacing/>
      <w:ind/>
    </w:pPr>
    <w:rPr>
      <w:rFonts w:ascii="Times New Roman" w:hAnsi="Times New Roman" w:eastAsia="Times New Roman" w:cs="Times New Roman"/>
      <w:lang w:eastAsia="es-MX"/>
    </w:rPr>
  </w:style>
  <w:style w:type="paragraph" w:styleId="942">
    <w:name w:val="List Paragraph"/>
    <w:basedOn w:val="934"/>
    <w:uiPriority w:val="34"/>
    <w:qFormat/>
    <w:pPr>
      <w:pBdr/>
      <w:spacing/>
      <w:ind w:left="720"/>
      <w:contextualSpacing w:val="true"/>
    </w:pPr>
    <w:rPr>
      <w:rFonts w:asciiTheme="minorHAnsi" w:hAnsiTheme="minorHAnsi" w:eastAsiaTheme="minorEastAsia" w:cstheme="minorBidi"/>
      <w:sz w:val="21"/>
      <w:lang w:val="es-ES" w:eastAsia="en-US"/>
    </w:rPr>
  </w:style>
  <w:style w:type="table" w:styleId="943">
    <w:name w:val="Table Grid"/>
    <w:basedOn w:val="936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4">
    <w:name w:val="Subtitle"/>
    <w:basedOn w:val="934"/>
    <w:next w:val="934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945">
    <w:name w:val="StGen0"/>
    <w:basedOn w:val="926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4+jIGQqVyBVABgunolJsSgRJWA==">CgMxLjAyCGguZ2pkZ3hzOAByITE5Z0FLYU43cWl6cXRwVWJrVFN3QkhwODd4c2JXQTBNTQ==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icread@unicartagena.edu.co</dc:creator>
  <cp:revision>2</cp:revision>
  <dcterms:created xsi:type="dcterms:W3CDTF">2023-01-25T02:41:00Z</dcterms:created>
  <dcterms:modified xsi:type="dcterms:W3CDTF">2026-08-08T04:24:02Z</dcterms:modified>
</cp:coreProperties>
</file>