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88" w:lineRule="auto"/>
        <w:ind/>
        <w:jc w:val="center"/>
        <w:rPr>
          <w:color w:val="000000" w:themeColor="text1"/>
          <w:sz w:val="28"/>
          <w:szCs w:val="28"/>
        </w:rPr>
      </w:pPr>
      <w:r>
        <w:rPr>
          <w:rFonts w:ascii="Arial" w:hAnsi="Arial"/>
          <w:b/>
          <w:color w:val="000000" w:themeColor="text1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2272875</wp:posOffset>
                </wp:positionH>
                <wp:positionV relativeFrom="paragraph">
                  <wp:posOffset>798053</wp:posOffset>
                </wp:positionV>
                <wp:extent cx="1397850" cy="136133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405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1397849" cy="13613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178.97pt;mso-position-horizontal:absolute;mso-position-vertical-relative:text;margin-top:62.84pt;mso-position-vertical:absolute;width:110.07pt;height:107.19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000000" w:themeColor="text1"/>
          <w:sz w:val="28"/>
          <w:szCs w:val="28"/>
        </w:rPr>
        <w:t xml:space="preserve">ACTIVIDAD DE APRENDIZAJE 2:</w:t>
        <w:br/>
        <w:t xml:space="preserve">LOS MOMENTOS METODOLÓGICOS DEL APRENDIZAJE EN LA EDUCACIÓN ABIERTA Y A DISTANCIA</w:t>
      </w:r>
      <w:r>
        <w:rPr>
          <w:color w:val="000000" w:themeColor="text1"/>
          <w:sz w:val="28"/>
          <w:szCs w:val="28"/>
        </w:rPr>
      </w:r>
    </w:p>
    <w:p w14:paraId="19AF6537">
      <w:pPr>
        <w:pBdr/>
        <w:spacing w:after="40"/>
        <w:ind/>
        <w:jc w:val="center"/>
        <w:rPr>
          <w:color w:val="000000" w:themeColor="text1"/>
          <w:sz w:val="24"/>
          <w:szCs w:val="24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 w14:paraId="56FD992D"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 w14:paraId="55D05435"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/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 w14:paraId="1A15F032"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 w14:paraId="46767613"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 w14:paraId="64150509"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 w14:paraId="3AE76FCD"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color w:val="000000" w:themeColor="text1"/>
          <w:sz w:val="24"/>
          <w:szCs w:val="24"/>
          <w:highlight w:val="none"/>
        </w:rPr>
      </w:r>
      <w:r>
        <w:rPr>
          <w:rFonts w:ascii="Arial" w:hAnsi="Arial"/>
          <w:color w:val="000000" w:themeColor="text1"/>
          <w:sz w:val="24"/>
          <w:szCs w:val="24"/>
          <w:highlight w:val="none"/>
        </w:rPr>
      </w:r>
    </w:p>
    <w:p>
      <w:pPr>
        <w:pBdr/>
        <w:spacing w:after="40"/>
        <w:ind/>
        <w:jc w:val="center"/>
        <w:rPr>
          <w:rFonts w:ascii="Arial" w:hAnsi="Arial"/>
          <w:color w:val="000000" w:themeColor="text1"/>
          <w:sz w:val="24"/>
          <w:szCs w:val="24"/>
          <w:highlight w:val="none"/>
        </w:rPr>
      </w:pPr>
      <w:r>
        <w:rPr>
          <w:rFonts w:ascii="Arial" w:hAnsi="Arial"/>
          <w:b/>
          <w:bCs/>
          <w:color w:val="000000" w:themeColor="text1"/>
          <w:sz w:val="24"/>
          <w:szCs w:val="24"/>
        </w:rPr>
        <w:t xml:space="preserve">Presentado por:</w:t>
      </w:r>
      <w:r>
        <w:rPr>
          <w:rFonts w:ascii="Arial" w:hAnsi="Arial"/>
          <w:color w:val="000000" w:themeColor="text1"/>
          <w:sz w:val="24"/>
          <w:szCs w:val="24"/>
        </w:rPr>
        <w:br/>
      </w:r>
      <w:r>
        <w:rPr>
          <w:rFonts w:ascii="Arial" w:hAnsi="Arial"/>
          <w:b/>
          <w:bCs/>
          <w:color w:val="000000" w:themeColor="text1"/>
          <w:sz w:val="24"/>
          <w:szCs w:val="24"/>
        </w:rPr>
        <w:t xml:space="preserve">ESTEBAN DAVID MARRUGO JASSIR</w:t>
      </w:r>
      <w:r>
        <w:rPr>
          <w:rFonts w:ascii="Arial" w:hAnsi="Arial"/>
          <w:b/>
          <w:color w:val="000000" w:themeColor="text1"/>
          <w:sz w:val="24"/>
          <w:szCs w:val="24"/>
        </w:rPr>
        <w:br/>
      </w:r>
      <w:r>
        <w:rPr>
          <w:rFonts w:ascii="Arial" w:hAnsi="Arial"/>
          <w:b/>
          <w:bCs/>
          <w:color w:val="000000" w:themeColor="text1"/>
          <w:sz w:val="24"/>
          <w:szCs w:val="24"/>
        </w:rPr>
        <w:t xml:space="preserve">Código Estudiantil: </w:t>
      </w:r>
      <w:r>
        <w:rPr>
          <w:rFonts w:ascii="Arial" w:hAnsi="Arial"/>
          <w:color w:val="000000" w:themeColor="text1"/>
          <w:sz w:val="24"/>
          <w:szCs w:val="24"/>
        </w:rPr>
        <w:t xml:space="preserve">7502620036</w:t>
      </w:r>
      <w:r>
        <w:rPr>
          <w:color w:val="000000" w:themeColor="text1"/>
          <w:sz w:val="24"/>
          <w:szCs w:val="24"/>
        </w:rPr>
      </w:r>
    </w:p>
    <w:p>
      <w:pPr>
        <w:pBdr/>
        <w:spacing w:after="320"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Bdr/>
        <w:spacing w:after="40"/>
        <w:ind/>
        <w:jc w:val="center"/>
        <w:rPr>
          <w:color w:val="000000" w:themeColor="text1"/>
          <w:sz w:val="24"/>
          <w:szCs w:val="24"/>
        </w:rPr>
      </w:pPr>
      <w:r>
        <w:rPr>
          <w:rFonts w:ascii="Arial" w:hAnsi="Arial"/>
          <w:b/>
          <w:bCs/>
          <w:color w:val="000000" w:themeColor="text1"/>
          <w:sz w:val="24"/>
          <w:szCs w:val="24"/>
          <w:lang w:val="es-ES"/>
        </w:rPr>
        <w:t xml:space="preserve">Profesora</w:t>
      </w:r>
      <w:r>
        <w:rPr>
          <w:rFonts w:ascii="Arial" w:hAnsi="Arial"/>
          <w:b/>
          <w:bCs/>
          <w:color w:val="000000" w:themeColor="text1"/>
          <w:sz w:val="24"/>
          <w:szCs w:val="24"/>
        </w:rPr>
        <w:t xml:space="preserve">:</w:t>
      </w:r>
      <w:r>
        <w:rPr>
          <w:rFonts w:ascii="Arial" w:hAnsi="Arial"/>
          <w:color w:val="000000" w:themeColor="text1"/>
          <w:sz w:val="24"/>
          <w:szCs w:val="24"/>
        </w:rPr>
        <w:br/>
      </w:r>
      <w:r>
        <w:rPr>
          <w:rFonts w:ascii="Arial" w:hAnsi="Arial"/>
          <w:b/>
          <w:color w:val="000000" w:themeColor="text1"/>
          <w:sz w:val="24"/>
          <w:szCs w:val="24"/>
        </w:rPr>
        <w:t xml:space="preserve">RAQUEL LEOTTAU DÍAZ</w:t>
        <w:br/>
      </w:r>
      <w:r>
        <w:rPr>
          <w:rFonts w:ascii="Arial" w:hAnsi="Arial"/>
          <w:b/>
          <w:bCs/>
          <w:color w:val="000000" w:themeColor="text1"/>
          <w:sz w:val="24"/>
          <w:szCs w:val="24"/>
        </w:rPr>
        <w:t xml:space="preserve">Asignatura: </w:t>
      </w:r>
      <w:r>
        <w:rPr>
          <w:rFonts w:ascii="Arial" w:hAnsi="Arial"/>
          <w:color w:val="000000" w:themeColor="text1"/>
          <w:sz w:val="24"/>
          <w:szCs w:val="24"/>
        </w:rPr>
        <w:t xml:space="preserve">Metodologías y Estrategias de la Educación a Distancia</w:t>
      </w:r>
      <w:r>
        <w:rPr>
          <w:color w:val="000000" w:themeColor="text1"/>
          <w:sz w:val="24"/>
          <w:szCs w:val="24"/>
        </w:rPr>
      </w:r>
    </w:p>
    <w:p>
      <w:pPr>
        <w:pBdr/>
        <w:spacing w:after="360"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4EFF5664">
      <w:pPr>
        <w:pBdr/>
        <w:spacing w:after="40"/>
        <w:ind/>
        <w:jc w:val="center"/>
        <w:rPr>
          <w:color w:val="000000" w:themeColor="text1"/>
          <w:sz w:val="24"/>
          <w:szCs w:val="24"/>
        </w:rPr>
      </w:pPr>
      <w:r>
        <w:rPr>
          <w:rFonts w:ascii="Arial" w:hAnsi="Arial"/>
          <w:b/>
          <w:color w:val="000000" w:themeColor="text1"/>
          <w:sz w:val="24"/>
          <w:szCs w:val="24"/>
        </w:rPr>
        <w:t xml:space="preserve">EVIDENCIA DE SUSTENTACIÓN OFICIAL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1C69BAD0">
      <w:pPr>
        <w:pBdr/>
        <w:spacing w:after="0"/>
        <w:ind/>
        <w:jc w:val="center"/>
        <w:rPr>
          <w:color w:val="000000" w:themeColor="text1"/>
          <w:sz w:val="24"/>
          <w:szCs w:val="24"/>
        </w:rPr>
      </w:pPr>
      <w:r>
        <w:rPr>
          <w:rFonts w:ascii="Arial" w:hAnsi="Arial"/>
          <w:b/>
          <w:color w:val="000000" w:themeColor="text1"/>
          <w:sz w:val="24"/>
          <w:szCs w:val="24"/>
        </w:rPr>
        <w:t xml:space="preserve">Video de Sustentación (Google Drive):</w:t>
        <w:br/>
      </w:r>
      <w:r>
        <w:rPr>
          <w:rFonts w:ascii="Arial" w:hAnsi="Arial"/>
          <w:color w:val="000000" w:themeColor="text1"/>
          <w:sz w:val="24"/>
          <w:szCs w:val="24"/>
          <w:u w:val="single"/>
        </w:rPr>
      </w:r>
      <w:hyperlink r:id="rId14" w:tooltip="https://drive.google.com/file/d/1D_rvWZIOY8bM8yjzXgDl8w6NGWStoM_T/view?usp=sharing" w:history="1">
        <w:r>
          <w:rPr>
            <w:rStyle w:val="187"/>
            <w:rFonts w:ascii="Arial" w:hAnsi="Arial"/>
            <w:color w:val="000000" w:themeColor="text1"/>
            <w:sz w:val="24"/>
            <w:szCs w:val="24"/>
          </w:rPr>
          <w:t xml:space="preserve">https://drive.google.com/file/d/1D_rvWZIOY8bM8yjzXgDl8w6NGWStoM_T/view?usp=sharing</w:t>
        </w:r>
        <w:r>
          <w:rPr>
            <w:rStyle w:val="187"/>
            <w:color w:val="000000" w:themeColor="text1"/>
            <w:sz w:val="24"/>
            <w:szCs w:val="24"/>
          </w:rPr>
        </w:r>
        <w:r>
          <w:rPr>
            <w:rStyle w:val="187"/>
            <w:color w:val="000000" w:themeColor="text1"/>
            <w:sz w:val="24"/>
            <w:szCs w:val="24"/>
          </w:rPr>
        </w:r>
      </w:hyperlink>
      <w:r>
        <w:rPr>
          <w:color w:val="000000" w:themeColor="text1"/>
        </w:rPr>
      </w:r>
      <w:r>
        <w:rPr>
          <w:color w:val="000000" w:themeColor="text1"/>
          <w:sz w:val="24"/>
          <w:szCs w:val="24"/>
        </w:rPr>
      </w:r>
    </w:p>
    <w:p>
      <w:pPr>
        <w:pBdr/>
        <w:spacing w:after="480"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color w:val="000000" w:themeColor="text1"/>
          <w:sz w:val="24"/>
          <w:szCs w:val="24"/>
        </w:rPr>
      </w:pPr>
      <w:r>
        <w:rPr>
          <w:rFonts w:ascii="Arial" w:hAnsi="Arial"/>
          <w:b/>
          <w:color w:val="000000" w:themeColor="text1"/>
          <w:sz w:val="24"/>
          <w:szCs w:val="24"/>
        </w:rPr>
        <w:t xml:space="preserve">UNIVERSIDAD DE CARTAGENA</w:t>
        <w:br/>
      </w:r>
      <w:r>
        <w:rPr>
          <w:rFonts w:ascii="Arial" w:hAnsi="Arial"/>
          <w:b/>
          <w:color w:val="000000" w:themeColor="text1"/>
          <w:sz w:val="24"/>
          <w:szCs w:val="24"/>
        </w:rPr>
        <w:t xml:space="preserve">FACULTAD DE INGENIERÍA</w:t>
        <w:br/>
      </w:r>
      <w:r>
        <w:rPr>
          <w:rFonts w:ascii="Arial" w:hAnsi="Arial"/>
          <w:b/>
          <w:color w:val="000000" w:themeColor="text1"/>
          <w:sz w:val="24"/>
          <w:szCs w:val="24"/>
        </w:rPr>
        <w:t xml:space="preserve">PROGRAMA DE INGENIERÍA DE SOFTWARE</w:t>
        <w:br/>
      </w:r>
      <w:r>
        <w:rPr>
          <w:rFonts w:ascii="Arial" w:hAnsi="Arial"/>
          <w:b w:val="0"/>
          <w:color w:val="000000" w:themeColor="text1"/>
          <w:sz w:val="24"/>
          <w:szCs w:val="24"/>
        </w:rPr>
        <w:t xml:space="preserve">CENTRO DE TECNOLOGÍAS PARA LA EDUCACIÓN VIRTUAL (CTEV)</w:t>
        <w:br/>
      </w:r>
      <w:r>
        <w:rPr>
          <w:rFonts w:ascii="Arial" w:hAnsi="Arial"/>
          <w:b/>
          <w:color w:val="000000" w:themeColor="text1"/>
          <w:sz w:val="24"/>
          <w:szCs w:val="24"/>
        </w:rPr>
        <w:t xml:space="preserve">CARTAGENA DE INDIAS, COLOMBIA</w:t>
        <w:br/>
      </w:r>
      <w:r>
        <w:rPr>
          <w:rFonts w:ascii="Arial" w:hAnsi="Arial"/>
          <w:b/>
          <w:color w:val="000000" w:themeColor="text1"/>
          <w:sz w:val="24"/>
          <w:szCs w:val="24"/>
        </w:rPr>
        <w:t xml:space="preserve">2026</w:t>
      </w:r>
      <w:r>
        <w:rPr>
          <w:color w:val="000000" w:themeColor="text1"/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 w:clear="all"/>
      </w:r>
      <w:r>
        <w:rPr>
          <w:color w:val="000000" w:themeColor="text1"/>
          <w:sz w:val="24"/>
          <w:szCs w:val="24"/>
        </w:rPr>
      </w:r>
    </w:p>
    <w:p>
      <w:pPr>
        <w:keepNext w:val="true"/>
        <w:pBdr/>
        <w:spacing w:after="120" w:before="28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7"/>
        </w:rPr>
        <w:t xml:space="preserve">1. Momentos Metodológicos del Aprendizaje</w:t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3"/>
        </w:rPr>
        <w:t xml:space="preserve">1.1. Mapa Conceptual Jerárquico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El siguiente mapa conceptual modela la articulación dialéctica y secuencial de los Tres Momentos Metodológicos del Aprendizaje en la Educación Abierta y a Distancia (EAD), fundamentado en las tesis pedagógicas de Amaury Lora Sfer (2014):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94594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pa_Conceptual_Momentos_Metodologic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3994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4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Descripción de las Relaciones Proposicionales: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1. La EAD se estructura en Tres Momentos:</w:t>
      </w:r>
      <w:r>
        <w:rPr>
          <w:rFonts w:ascii="Arial" w:hAnsi="Arial"/>
          <w:i w:val="0"/>
          <w:color w:val="000000" w:themeColor="text1"/>
          <w:sz w:val="20"/>
        </w:rPr>
        <w:t xml:space="preserve"> No son eventos aislados ni pasos opcionales, sino un ciclo continuo donde cada etapa depende estrictamente de la anterior para tener validez pedagógica.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2. Del Momento 1 al Momento 2:</w:t>
      </w:r>
      <w:r>
        <w:rPr>
          <w:rFonts w:ascii="Arial" w:hAnsi="Arial"/>
          <w:i w:val="0"/>
          <w:color w:val="000000" w:themeColor="text1"/>
          <w:sz w:val="20"/>
        </w:rPr>
        <w:t xml:space="preserve"> El estudio individual aporta la base conceptual, la lectura crítica y las notas reflexivas sin las cuales el debate en CIPAS pierde todo sentido y se convierte en una charla improvisada.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3. Del Momento 2 al Momento 3:</w:t>
      </w:r>
      <w:r>
        <w:rPr>
          <w:rFonts w:ascii="Arial" w:hAnsi="Arial"/>
          <w:i w:val="0"/>
          <w:color w:val="000000" w:themeColor="text1"/>
          <w:sz w:val="20"/>
        </w:rPr>
        <w:t xml:space="preserve"> La co-validación en CIPAS resuelve las dudas de nivel medio y destila las preguntas de fondo ('Dudas Semilla') para que la tutoría presencial con el docente sea un espacio de validación profunda y no un dictado tradicional de conceptos básicos.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4. Retroalimentación continua:</w:t>
      </w:r>
      <w:r>
        <w:rPr>
          <w:rFonts w:ascii="Arial" w:hAnsi="Arial"/>
          <w:i w:val="0"/>
          <w:color w:val="000000" w:themeColor="text1"/>
          <w:sz w:val="20"/>
        </w:rPr>
        <w:t xml:space="preserve"> La síntesis tutorial consolida el criterio reflexivo del estudiante, cerrando el ciclo de 'aprender a aprender' y retroalimentando la autonomía para el siguiente bloque de aprendizaje.</w:t>
      </w:r>
      <w:r>
        <w:rPr>
          <w:color w:val="000000" w:themeColor="text1"/>
        </w:rPr>
      </w:r>
    </w:p>
    <w:p>
      <w:pPr>
        <w:keepNext w:val="true"/>
        <w:pBdr/>
        <w:spacing w:after="80" w:before="24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3"/>
        </w:rPr>
        <w:t xml:space="preserve">1.2. Propuesta de Estrategia de Aprendizaje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1. Nombre de la Estrategia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Estrategia 3C: Captura, Co-Validación y Consolidación (Ciclo de Aprendizaje Autónomo y Colaborativo en EAD).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2. Objetivo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Estructurar un método sistemático y medible para gestionar el </w:t>
      </w:r>
      <w:r>
        <w:rPr>
          <w:rFonts w:ascii="Arial" w:hAnsi="Arial"/>
          <w:i w:val="0"/>
          <w:color w:val="000000" w:themeColor="text1"/>
          <w:sz w:val="20"/>
        </w:rPr>
        <w:t xml:space="preserve">estudio autónomo, contrastar la comprensión conceptual mediante debate riguroso entre pares y co-validar los conocimientos con el docente tutor, fortaleciendo la autorregulación, la retención conceptual y el rendimiento académico en Ingeniería de Software.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3. Justificación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En la modalidad a distancia, el mayor riesgo consiste en co</w:t>
      </w:r>
      <w:r>
        <w:rPr>
          <w:rFonts w:ascii="Arial" w:hAnsi="Arial"/>
          <w:i w:val="0"/>
          <w:color w:val="000000" w:themeColor="text1"/>
          <w:sz w:val="20"/>
        </w:rPr>
        <w:t xml:space="preserve">nfundir la flexibilidad horaria con la desorganización, y el trabajo colaborativo con la fragmentación mecánica de entregables ('repartirse los puntos del taller'). Esta estrategia introduce una rutina disciplinada inspirada en buenas prácticas de ingenier</w:t>
      </w:r>
      <w:r>
        <w:rPr>
          <w:rFonts w:ascii="Arial" w:hAnsi="Arial"/>
          <w:i w:val="0"/>
          <w:color w:val="000000" w:themeColor="text1"/>
          <w:sz w:val="20"/>
        </w:rPr>
        <w:t xml:space="preserve">ía: exige que cada estudiante estudie y procese los contenidos de manera previa, confronta los modelos mentales en equipo para eliminar sesgos y asegura que el tiempo presencial con el docente se aproveche al máximo en la resolución de problemas complejos.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4. Descripción de la Estrategia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La Estrategia 3C se desarrolla como un circuito continuo dividido en tres fases interdependientes: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Fase 1 - Captura:</w:t>
      </w:r>
      <w:r>
        <w:rPr>
          <w:rFonts w:ascii="Arial" w:hAnsi="Arial"/>
          <w:i w:val="0"/>
          <w:color w:val="000000" w:themeColor="text1"/>
          <w:sz w:val="20"/>
        </w:rPr>
        <w:t xml:space="preserve"> El estudiante procesa de manera independiente el módulo temático en SIMA y elabora notas analíticas en su gestor de conocimiento personal.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Fase 2 - Co-validación:</w:t>
      </w:r>
      <w:r>
        <w:rPr>
          <w:rFonts w:ascii="Arial" w:hAnsi="Arial"/>
          <w:i w:val="0"/>
          <w:color w:val="000000" w:themeColor="text1"/>
          <w:sz w:val="20"/>
        </w:rPr>
        <w:t xml:space="preserve"> Los integrantes se reúnen en canales sincrónicos para contrastar apuntes, resolver discrepancias conceptuales y redactar acuerdos en un documento compartido.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Fase 3 - Consolidación:</w:t>
      </w:r>
      <w:r>
        <w:rPr>
          <w:rFonts w:ascii="Arial" w:hAnsi="Arial"/>
          <w:i w:val="0"/>
          <w:color w:val="000000" w:themeColor="text1"/>
          <w:sz w:val="20"/>
        </w:rPr>
        <w:t xml:space="preserve"> El estudiante o equipo socializa sus conclusiones y dudas críticas en la tutoría presencial de los sábados, integrando las orientaciones del tutor para cerrar formalmente la unidad.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5. Pasos o Fases para su Aplicación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Fase 1: Captura Autónoma (Lunes a Miércoles):</w:t>
      </w:r>
      <w:r>
        <w:rPr>
          <w:rFonts w:ascii="Arial" w:hAnsi="Arial"/>
          <w:i w:val="0"/>
          <w:color w:val="000000" w:themeColor="text1"/>
          <w:sz w:val="20"/>
        </w:rPr>
        <w:t xml:space="preserve"> Procesamiento de la unidad en SIMA aplicando lectura activa y técnica de notas propias. Registro en Obsidian de los conceptos clave y de las dudas no resueltas para construir el Protocolo Individual.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Fase 2: Co-Validación en CIPAS (Jueves a Viernes):</w:t>
      </w:r>
      <w:r>
        <w:rPr>
          <w:rFonts w:ascii="Arial" w:hAnsi="Arial"/>
          <w:i w:val="0"/>
          <w:color w:val="000000" w:themeColor="text1"/>
          <w:sz w:val="20"/>
        </w:rPr>
        <w:t xml:space="preserve"> </w:t>
      </w:r>
      <w:r>
        <w:rPr>
          <w:rFonts w:ascii="Arial" w:hAnsi="Arial"/>
          <w:i w:val="0"/>
          <w:color w:val="000000" w:themeColor="text1"/>
          <w:sz w:val="20"/>
        </w:rPr>
        <w:t xml:space="preserve">Sesión de trabajo sincrónico (60 a 90 minutos) por canal de voz en Discord y co-edición en Google Docs. Se contrastan los protocolos individuales, se debaten las discrepancias y se redacta el Protocolo Colaborativo, filtrando las 'Dudas Semilla' complejas.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Fase 3: Consolidación Tutorial (Sábado presencial):</w:t>
      </w:r>
      <w:r>
        <w:rPr>
          <w:rFonts w:ascii="Arial" w:hAnsi="Arial"/>
          <w:i w:val="0"/>
          <w:color w:val="000000" w:themeColor="text1"/>
          <w:sz w:val="20"/>
        </w:rPr>
        <w:t xml:space="preserve"> Participación activa en la sesión plenaria con la docente Raquel Leottau Díaz en el CTEV. Planteamiento de las dudas filtradas, registro de la síntesis tutorial y cierre evaluativo de la unidad.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6. Papel de los Integrantes y Dinámica de Roles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Para asegurar la corresponsabilidad y la participación equitativa, se establecen roles que rotan en cada unidad temática: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Moderador de Sesión:</w:t>
      </w:r>
      <w:r>
        <w:rPr>
          <w:rFonts w:ascii="Arial" w:hAnsi="Arial"/>
          <w:i w:val="0"/>
          <w:color w:val="000000" w:themeColor="text1"/>
          <w:sz w:val="20"/>
        </w:rPr>
        <w:t xml:space="preserve"> Coordina los tiempos de intervención en la reunión sincrónica (máximo 5 minutos por temática) y asegura que se aborde la totalidad de la guía.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Relator de Síntesis:</w:t>
      </w:r>
      <w:r>
        <w:rPr>
          <w:rFonts w:ascii="Arial" w:hAnsi="Arial"/>
          <w:i w:val="0"/>
          <w:color w:val="000000" w:themeColor="text1"/>
          <w:sz w:val="20"/>
        </w:rPr>
        <w:t xml:space="preserve"> Registra en tiempo real los consensos, disensos y preguntas de alto nivel en el documento institucional mientras se desarrolla el debate.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Revisor Técnico:</w:t>
      </w:r>
      <w:r>
        <w:rPr>
          <w:rFonts w:ascii="Arial" w:hAnsi="Arial"/>
          <w:i w:val="0"/>
          <w:color w:val="000000" w:themeColor="text1"/>
          <w:sz w:val="20"/>
        </w:rPr>
        <w:t xml:space="preserve"> Verifica la coherencia en la redacción, la correcta aplicación de normas APA y la concordancia con la rúbrica de evaluación antes de la entrega formal.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Regla innegociable (Pase de Entrada):</w:t>
      </w:r>
      <w:r>
        <w:rPr>
          <w:rFonts w:ascii="Arial" w:hAnsi="Arial"/>
          <w:i w:val="0"/>
          <w:color w:val="000000" w:themeColor="text1"/>
          <w:sz w:val="20"/>
        </w:rPr>
        <w:t xml:space="preserve"> Ningún estudiante puede participar en la sesión de debate ni firmar el protocolo colaborativo si no presenta su protocolo individual elaborado previamente.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7. Recursos y Herramientas Digitales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Obsidian / Logseq:</w:t>
      </w:r>
      <w:r>
        <w:rPr>
          <w:rFonts w:ascii="Arial" w:hAnsi="Arial"/>
          <w:i w:val="0"/>
          <w:color w:val="000000" w:themeColor="text1"/>
          <w:sz w:val="20"/>
        </w:rPr>
        <w:t xml:space="preserve"> Entorno local en Markdown para la toma de notas estructuradas y elaboración del protocolo individual.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Discord:</w:t>
      </w:r>
      <w:r>
        <w:rPr>
          <w:rFonts w:ascii="Arial" w:hAnsi="Arial"/>
          <w:i w:val="0"/>
          <w:color w:val="000000" w:themeColor="text1"/>
          <w:sz w:val="20"/>
        </w:rPr>
        <w:t xml:space="preserve"> Espacio sincrónico de comunicación por voz y pantalla compartida para el contraste directo de comprensiones.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Google Docs institucional:</w:t>
      </w:r>
      <w:r>
        <w:rPr>
          <w:rFonts w:ascii="Arial" w:hAnsi="Arial"/>
          <w:i w:val="0"/>
          <w:color w:val="000000" w:themeColor="text1"/>
          <w:sz w:val="20"/>
        </w:rPr>
        <w:t xml:space="preserve"> Plataforma institucional para la redacción transparente, simultánea y con control de versiones del trabajo grupal.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Calendario y Time-Blocking:</w:t>
      </w:r>
      <w:r>
        <w:rPr>
          <w:rFonts w:ascii="Arial" w:hAnsi="Arial"/>
          <w:i w:val="0"/>
          <w:color w:val="000000" w:themeColor="text1"/>
          <w:sz w:val="20"/>
        </w:rPr>
        <w:t xml:space="preserve"> Planificación de bloques de 2 a 3 horas semanales por cada crédito académico matriculado (cumpliendo la equivalencia de 48 horas semestrales por crédito).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8. Forma de Seguimiento y Evaluación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La efectividad de la estrategia se supervisa mediante dos mecanismos de control: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1. Filtro de Entrada Individual:</w:t>
      </w:r>
      <w:r>
        <w:rPr>
          <w:rFonts w:ascii="Arial" w:hAnsi="Arial"/>
          <w:i w:val="0"/>
          <w:color w:val="000000" w:themeColor="text1"/>
          <w:sz w:val="20"/>
        </w:rPr>
        <w:t xml:space="preserve"> Al iniciar la llamada de trabajo, cada miembro comparte pantalla mostrando sus notas y protocolo individual terminado. Quien no haya cumplido, pasa a calidad de oyente.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2. Lista de Chequeo de Co-Validación:</w:t>
      </w:r>
      <w:r>
        <w:rPr>
          <w:rFonts w:ascii="Arial" w:hAnsi="Arial"/>
          <w:i w:val="0"/>
          <w:color w:val="000000" w:themeColor="text1"/>
          <w:sz w:val="20"/>
        </w:rPr>
        <w:t xml:space="preserve"> Antes del cierre de la reunión se comprueba: ¿se discutieron todos los temas del módulo?, ¿quedó registrada al menos una duda compleja para la tutoría?, ¿el documento cumple las normas de presentación de la UDC?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9. Resultados Esperados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• Eliminación total de entregas improvisadas o fragmentadas de última hora.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• Reducción de la ansiedad en épocas de evaluación gracias al procesamiento semanal progresivo.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• Comprensión conceptual sólida reflejada en calificaciones superiores a 4.5 en la plataforma SIMA.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• Formación de disciplina y hábitos de comunicación técnica indispensables para la industria del software.</w:t>
      </w:r>
      <w:r>
        <w:rPr>
          <w:color w:val="000000" w:themeColor="text1"/>
        </w:rPr>
      </w:r>
    </w:p>
    <w:p>
      <w:pPr>
        <w:keepNext w:val="true"/>
        <w:pBdr/>
        <w:spacing w:after="60" w:before="20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1"/>
        </w:rPr>
        <w:t xml:space="preserve">10. Relación con el Proceso de «Aprender a Aprender» en la EAD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i w:val="0"/>
          <w:color w:val="000000" w:themeColor="text1"/>
          <w:sz w:val="20"/>
        </w:rPr>
        <w:t xml:space="preserve">«Aprender a aprender» implica dejar la pasividad y asumir el control consciente del propio proceso formativo. La Estrategia 3C materializa este principio en tres dimensiones: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Metacognición aplicada:</w:t>
      </w:r>
      <w:r>
        <w:rPr>
          <w:rFonts w:ascii="Arial" w:hAnsi="Arial"/>
          <w:i w:val="0"/>
          <w:color w:val="000000" w:themeColor="text1"/>
          <w:sz w:val="20"/>
        </w:rPr>
        <w:t xml:space="preserve"> El estudiante identifica oportunamente sus propios vacíos conceptuales en la Fase 1, antes de que una evaluación sumativa revele la falta de estudio.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Construcción social:</w:t>
      </w:r>
      <w:r>
        <w:rPr>
          <w:rFonts w:ascii="Arial" w:hAnsi="Arial"/>
          <w:i w:val="0"/>
          <w:color w:val="000000" w:themeColor="text1"/>
          <w:sz w:val="20"/>
        </w:rPr>
        <w:t xml:space="preserve"> Al argumentar y justificar conceptos ante los compañeros en la Fase 2, se activa el principio pedagógico de que quien explica y fundamenta un tema consolida su propio aprendizaje.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/>
        <w:jc w:val="both"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0"/>
        </w:rPr>
        <w:t xml:space="preserve">• Interacción orientada:</w:t>
      </w:r>
      <w:r>
        <w:rPr>
          <w:rFonts w:ascii="Arial" w:hAnsi="Arial"/>
          <w:i w:val="0"/>
          <w:color w:val="000000" w:themeColor="text1"/>
          <w:sz w:val="20"/>
        </w:rPr>
        <w:t xml:space="preserve"> El alumno acude al encuentro del sábado con inquietudes estructuradas, transformando la tutoría en un espacio dialógico de alto valor formativo.</w:t>
      </w:r>
      <w:r>
        <w:rPr>
          <w:color w:val="000000" w:themeColor="text1"/>
        </w:rPr>
      </w:r>
    </w:p>
    <w:p>
      <w:pPr>
        <w:keepNext w:val="true"/>
        <w:pBdr/>
        <w:spacing w:after="120" w:before="280"/>
        <w:ind/>
        <w:rPr>
          <w:color w:val="000000" w:themeColor="text1"/>
        </w:rPr>
      </w:pPr>
      <w:r>
        <w:rPr>
          <w:rFonts w:ascii="Arial" w:hAnsi="Arial"/>
          <w:b/>
          <w:color w:val="000000" w:themeColor="text1"/>
          <w:sz w:val="27"/>
        </w:rPr>
        <w:t xml:space="preserve">2. Referencias Bibliográficas (Normas APA 7.ª Edición)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 w:hanging="720" w:left="72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Costa Román, Ó., &amp; Garcia Gaitero, O. (2017). El aprendizaje autorregulado y las estrategias de aprendizaje. Tendencias Pedagógicas, (30), 117–130. https://doi.org/10.15366/tp2017.30.007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 w:hanging="720" w:left="72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García Aretio, L. (2014). Bases, mediaciones y futuro de la educación a distancia en la sociedad digital. Editorial Síntesis.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 w:hanging="720" w:left="72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Hernández-Sellés, N., </w:t>
      </w:r>
      <w:r>
        <w:rPr>
          <w:rFonts w:ascii="Arial" w:hAnsi="Arial"/>
          <w:color w:val="000000" w:themeColor="text1"/>
          <w:sz w:val="19"/>
        </w:rPr>
        <w:t xml:space="preserve">Muñoz-Carril, P. C., &amp; González-Sanmamed, M. (2023). Roles del docente universitario en procesos de aprendizaje colaborativo en entornos virtuales. RIED. Revista Iberoamericana de Educación a Distancia, 26(1), 45–66. https://doi.org/10.5944/ried.26.1.34005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 w:hanging="720" w:left="72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Lluch Molins, L., &amp; Portillo Blázquez, M. C. (2018). La competencia de aprender a aprender en el marco de la educación superior. Revista de Docencia Universitaria (REDU), 16(2), 223–239. https://doi.org/10.4995/redu.2018.10268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 w:hanging="720" w:left="72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Lora Sfer, A. (2014). Metodología de la Educación Abierta y a Distancia: Los Tres Momentos del Aprendizaje y los CIPAS en la Universidad de Cartagena. Centro de Tecnologías para la Educación Virtual (CTEV), Universidad de Cartagena.</w:t>
      </w:r>
      <w:r>
        <w:rPr>
          <w:color w:val="000000" w:themeColor="text1"/>
        </w:rPr>
      </w:r>
    </w:p>
    <w:p>
      <w:pPr>
        <w:pBdr/>
        <w:spacing w:after="120" w:before="0" w:line="276" w:lineRule="auto"/>
        <w:ind w:hanging="720" w:left="720"/>
        <w:jc w:val="both"/>
        <w:rPr>
          <w:color w:val="000000" w:themeColor="text1"/>
        </w:rPr>
      </w:pPr>
      <w:r>
        <w:rPr>
          <w:rFonts w:ascii="Arial" w:hAnsi="Arial"/>
          <w:color w:val="000000" w:themeColor="text1"/>
          <w:sz w:val="19"/>
        </w:rPr>
        <w:t xml:space="preserve">Sangrá, A., Guitert, M., &amp; Behar, P. A. (2023). Competencias y metodologías innovadoras para la educación digital. RIED. Revista Iberoamericana de Educación a Distancia, 26(1), 9–23. https://doi.org/10.5944/ried.26.1.36015</w:t>
      </w:r>
      <w:r>
        <w:rPr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both"/>
      <w:rPr/>
    </w:pPr>
    <w:r>
      <w:rPr>
        <w:rFonts w:ascii="Arial" w:hAnsi="Arial"/>
        <w:color w:val="64748b"/>
        <w:sz w:val="17"/>
      </w:rPr>
      <w:t xml:space="preserve">Esteban David Marrugo Jassir — Ingeniería de Software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right"/>
      <w:rPr/>
    </w:pPr>
    <w:r>
      <w:rPr>
        <w:rFonts w:ascii="Arial" w:hAnsi="Arial"/>
        <w:color w:val="64748b"/>
        <w:sz w:val="17"/>
      </w:rPr>
      <w:t xml:space="preserve">Universidad de Cartagena · CTEV · Metodologías y Estrategias de la EAD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hyperlink" Target="https://drive.google.com/file/d/1D_rvWZIOY8bM8yjzXgDl8w6NGWStoM_T/view?usp=sharing" TargetMode="External"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2026-09-17T18:12:32Z</dcterms:modified>
  <cp:category/>
</cp:coreProperties>
</file>