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KITCO3 Comparison Analysis Handoff</w:t>
      </w:r>
    </w:p>
    <w:p>
      <w:r>
        <w:t>This guide identifies the current scores, session model, figures and files needed to review or reproduce the emotional-versus-neutral comparison. Dr. Todd endorsed retaining the within-session approach after the partner-composition concern was raised. The current release is Script10 v1.1.0, based on the Script09 v1.1.0 audited copy of Script07.</w:t>
      </w:r>
    </w:p>
    <w:p>
      <w:pPr>
        <w:pStyle w:val="Heading1"/>
      </w:pPr>
      <w:r>
        <w:t>What is being compared</w:t>
      </w:r>
    </w:p>
    <w:p>
      <w:r>
        <w:t>PLV is a pair-level measure of consistency of the phase relationship between filtered IBI fluctuations. The pair-phase score is the mean of accepted 200-second local-window PLVs. A participant does not have an independent individual PLV in this analysis.</w:t>
      </w:r>
    </w:p>
    <w:p>
      <w:r>
        <w:t>For each session with at least one scored pair in each condition, average available emotional pair-phase scores and available neutral pair-phase scores separately. Subtract neutral from emotional, then fit the resulting one-row-per-session differences with recipe-composition and round-order differences as covariates. Equal pair weight is used within each session-condition and equal session weight in the model.</w:t>
      </w:r>
    </w:p>
    <w:p>
      <w:r>
        <w:t>The comparison has 16 sessions and 42 contributing pair-phase scores. Descriptive figures contain all 48 scored pair-phases from 22 sessions. Six scores from unmatched sessions, two neutral-only and four emotional-only, do not enter the within-session model. Partner changes mean the model is not generally a same-dyad comparison. Session aggregation addresses same-session dependence, not partner compatibility or selection bias.</w:t>
      </w:r>
    </w:p>
    <w:p>
      <w:pPr>
        <w:pStyle w:val="Heading1"/>
      </w:pPr>
      <w:r>
        <w:t>Start here</w:t>
      </w:r>
    </w:p>
    <w:p>
      <w:pPr>
        <w:keepNext/>
      </w:pPr>
      <w:r>
        <w:t>Project root:</w:t>
      </w:r>
    </w:p>
    <w:p>
      <w:pPr>
        <w:spacing w:after="80"/>
      </w:pPr>
      <w:r>
        <w:rPr>
          <w:sz w:val="18"/>
        </w:rPr>
        <w:t>/Volumes/One Touch/KITCO3_drive</w:t>
      </w:r>
    </w:p>
    <w:p>
      <w:pPr>
        <w:keepNext/>
      </w:pPr>
      <w:r>
        <w:t>Current browser index:</w:t>
      </w:r>
    </w:p>
    <w:p>
      <w:pPr>
        <w:spacing w:after="80"/>
      </w:pPr>
      <w:r>
        <w:rPr>
          <w:sz w:val="18"/>
        </w:rPr>
        <w:t>/Volumes/One Touch/KITCO3_drive/outputs/10_PLV_condition_comparison_v1_1_0/10_START_HERE.html</w:t>
      </w:r>
    </w:p>
    <w:p>
      <w:pPr>
        <w:keepNext/>
      </w:pPr>
      <w:r>
        <w:t>Current readable report:</w:t>
      </w:r>
    </w:p>
    <w:p>
      <w:pPr>
        <w:spacing w:after="80"/>
      </w:pPr>
      <w:r>
        <w:rPr>
          <w:sz w:val="18"/>
        </w:rPr>
        <w:t>/Volumes/One Touch/KITCO3_drive/outputs/10_PLV_condition_comparison_v1_1_0/10_RESULTS_AND_METHODS.md</w:t>
      </w:r>
    </w:p>
    <w:p>
      <w:pPr>
        <w:keepNext/>
      </w:pPr>
      <w:r>
        <w:t>Runsheet with actual partners and attendance exceptions:</w:t>
      </w:r>
    </w:p>
    <w:p>
      <w:pPr>
        <w:spacing w:after="80"/>
      </w:pPr>
      <w:r>
        <w:rPr>
          <w:sz w:val="18"/>
        </w:rPr>
        <w:t>/Volumes/One Touch/KITCO3_drive/Runsheet_final_EG.xlsx</w:t>
      </w:r>
    </w:p>
    <w:p>
      <w:r>
        <w:t>Use Runsheet_Clean for PID/Phase/Condition/Analysis_Partner, and Session_Metadata for absence/observer and pairing deviations. Do not substitute Planned_Partner for actual partners or interpret scheduled IDs as attendance.</w:t>
      </w:r>
    </w:p>
    <w:p>
      <w:pPr>
        <w:pStyle w:val="Heading1"/>
      </w:pPr>
      <w:r>
        <w:t>Main CSV files</w:t>
      </w:r>
    </w:p>
    <w:p>
      <w:pPr>
        <w:pStyle w:val="Heading2"/>
      </w:pPr>
      <w:r>
        <w:t>Scored pair phase dataset</w:t>
      </w:r>
    </w:p>
    <w:p>
      <w:pPr>
        <w:spacing w:after="80"/>
      </w:pPr>
      <w:r>
        <w:rPr>
          <w:sz w:val="18"/>
        </w:rPr>
        <w:t>/Volumes/One Touch/KITCO3_drive/outputs/07_cardiac_specification_v1_0_0/07_conditional_cardiac_dataset.csv</w:t>
      </w:r>
    </w:p>
    <w:p>
      <w:r>
        <w:t>48 rows, one score per actual pair per cooking round. Use pair_id, Session_ID, Phase, PID_1, PID_2, Condition, Story, Recipe, mean_local_PLV, scored_windows, scored_core_union_s, scored_core_coverage_fraction and primary_condition_comparison_member. Story is Emotional/Neutral; Recipe is Apple/Banana. mean_local_PLV is missing only outside this scored dataset; do not create zero-valued scores for unscored rows.</w:t>
      </w:r>
    </w:p>
    <w:p>
      <w:pPr>
        <w:keepNext/>
      </w:pPr>
      <w:r>
        <w:t>Exact snapshot used by the current comparison:</w:t>
      </w:r>
    </w:p>
    <w:p>
      <w:pPr>
        <w:spacing w:after="80"/>
      </w:pPr>
      <w:r>
        <w:rPr>
          <w:sz w:val="18"/>
        </w:rPr>
        <w:t>/Volumes/One Touch/KITCO3_drive/outputs/09_PLV_condition_audit_v1_1_0/source_script07/07_conditional_cardiac_dataset.csv</w:t>
      </w:r>
    </w:p>
    <w:p>
      <w:r>
        <w:t>The original Script07 file and audited snapshot must have the same scientific content. Script10 reads the snapshot and checks its seal, not a spreadsheet edited in place.</w:t>
      </w:r>
    </w:p>
    <w:p>
      <w:pPr>
        <w:pStyle w:val="Heading2"/>
      </w:pPr>
      <w:r>
        <w:t>All active actual pairs and availability</w:t>
      </w:r>
    </w:p>
    <w:p>
      <w:pPr>
        <w:spacing w:after="80"/>
      </w:pPr>
      <w:r>
        <w:rPr>
          <w:sz w:val="18"/>
        </w:rPr>
        <w:t>/Volumes/One Touch/KITCO3_drive/outputs/09_PLV_condition_audit_v1_1_0/09_pair_phase_joined_94.csv</w:t>
      </w:r>
    </w:p>
    <w:p>
      <w:r>
        <w:t>94 rows including unscored/nonselected pairs. Use scored, raw_selected, disposition, inclusion_reason, actual PIDs, story and recipe. In this audit file recipe uses A/B, whereas the Script07 scored dataset uses Apple/Banana. Missing values are not zero. This is the preferred combined table for tracing where observations were lost.</w:t>
      </w:r>
    </w:p>
    <w:p>
      <w:pPr>
        <w:pStyle w:val="Heading2"/>
      </w:pPr>
      <w:r>
        <w:t>Session averages and model inputs</w:t>
      </w:r>
    </w:p>
    <w:p>
      <w:pPr>
        <w:spacing w:after="80"/>
      </w:pPr>
      <w:r>
        <w:rPr>
          <w:sz w:val="18"/>
        </w:rPr>
        <w:t>/Volumes/One Touch/KITCO3_drive/outputs/10_PLV_condition_comparison_v1_1_0/10_primary_sessions.csv</w:t>
      </w:r>
    </w:p>
    <w:p>
      <w:pPr>
        <w:keepNext/>
      </w:pPr>
      <w:r>
        <w:t>16 rows. Main columns: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624"/>
      </w:tblGrid>
      <w:tr>
        <w:trPr>
          <w:cantSplit/>
          <w:tblHeader/>
        </w:trPr>
        <w:tc>
          <w:tcPr>
            <w:tcW w:type="dxa" w:w="3600"/>
            <w:vAlign w:val="center"/>
            <w:tcMar>
              <w:top w:w="65" w:type="dxa"/>
              <w:bottom w:w="65" w:type="dxa"/>
              <w:left w:w="85" w:type="dxa"/>
              <w:right w:w="85" w:type="dxa"/>
            </w:tcMar>
            <w:shd w:fill="EEEEEE"/>
          </w:tcPr>
          <w:p>
            <w:pPr>
              <w:spacing w:after="0" w:line="247" w:lineRule="auto"/>
            </w:pPr>
            <w:r>
              <w:rPr>
                <w:b/>
                <w:sz w:val="19"/>
              </w:rPr>
              <w:t>Column</w:t>
            </w:r>
          </w:p>
        </w:tc>
        <w:tc>
          <w:tcPr>
            <w:tcW w:type="dxa" w:w="6624"/>
            <w:vAlign w:val="center"/>
            <w:tcMar>
              <w:top w:w="65" w:type="dxa"/>
              <w:bottom w:w="65" w:type="dxa"/>
              <w:left w:w="85" w:type="dxa"/>
              <w:right w:w="85" w:type="dxa"/>
            </w:tcMar>
            <w:shd w:fill="EEEEEE"/>
          </w:tcPr>
          <w:p>
            <w:pPr>
              <w:spacing w:after="0" w:line="247" w:lineRule="auto"/>
            </w:pPr>
            <w:r>
              <w:rPr>
                <w:b/>
                <w:sz w:val="19"/>
              </w:rPr>
              <w:t>Meaning</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Session_ID</w:t>
            </w:r>
          </w:p>
        </w:tc>
        <w:tc>
          <w:tcPr>
            <w:tcW w:type="dxa" w:w="6624"/>
            <w:vAlign w:val="center"/>
            <w:tcMar>
              <w:top w:w="65" w:type="dxa"/>
              <w:bottom w:w="65" w:type="dxa"/>
              <w:left w:w="85" w:type="dxa"/>
              <w:right w:w="85" w:type="dxa"/>
            </w:tcMar>
          </w:tcPr>
          <w:p>
            <w:pPr>
              <w:spacing w:after="0" w:line="247" w:lineRule="auto"/>
            </w:pPr>
            <w:r>
              <w:rPr>
                <w:b w:val="0"/>
                <w:sz w:val="19"/>
              </w:rPr>
              <w:t>Independent-session unit assumed by the model</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emotional_pair_phases and neutral_pair_phases</w:t>
            </w:r>
          </w:p>
        </w:tc>
        <w:tc>
          <w:tcPr>
            <w:tcW w:type="dxa" w:w="6624"/>
            <w:vAlign w:val="center"/>
            <w:tcMar>
              <w:top w:w="65" w:type="dxa"/>
              <w:bottom w:w="65" w:type="dxa"/>
              <w:left w:w="85" w:type="dxa"/>
              <w:right w:w="85" w:type="dxa"/>
            </w:tcMar>
          </w:tcPr>
          <w:p>
            <w:pPr>
              <w:spacing w:after="0" w:line="247" w:lineRule="auto"/>
            </w:pPr>
            <w:r>
              <w:rPr>
                <w:b w:val="0"/>
                <w:sz w:val="19"/>
              </w:rPr>
              <w:t>Number of scored pairs contributing to each observed session-condition mean</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emotional_mean_PLV and neutral_mean_PLV</w:t>
            </w:r>
          </w:p>
        </w:tc>
        <w:tc>
          <w:tcPr>
            <w:tcW w:type="dxa" w:w="6624"/>
            <w:vAlign w:val="center"/>
            <w:tcMar>
              <w:top w:w="65" w:type="dxa"/>
              <w:bottom w:w="65" w:type="dxa"/>
              <w:left w:w="85" w:type="dxa"/>
              <w:right w:w="85" w:type="dxa"/>
            </w:tcMar>
          </w:tcPr>
          <w:p>
            <w:pPr>
              <w:spacing w:after="0" w:line="247" w:lineRule="auto"/>
            </w:pPr>
            <w:r>
              <w:rPr>
                <w:b w:val="0"/>
                <w:sz w:val="19"/>
              </w:rPr>
              <w:t>Equal-pair averages within that session and condition</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D_emotional_minus_neutral</w:t>
            </w:r>
          </w:p>
        </w:tc>
        <w:tc>
          <w:tcPr>
            <w:tcW w:type="dxa" w:w="6624"/>
            <w:vAlign w:val="center"/>
            <w:tcMar>
              <w:top w:w="65" w:type="dxa"/>
              <w:bottom w:w="65" w:type="dxa"/>
              <w:left w:w="85" w:type="dxa"/>
              <w:right w:w="85" w:type="dxa"/>
            </w:tcMar>
          </w:tcPr>
          <w:p>
            <w:pPr>
              <w:spacing w:after="0" w:line="247" w:lineRule="auto"/>
            </w:pPr>
            <w:r>
              <w:rPr>
                <w:b w:val="0"/>
                <w:sz w:val="19"/>
              </w:rPr>
              <w:t>Outcome: emotional mean minus neutral mean</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delta_banana_proportion</w:t>
            </w:r>
          </w:p>
        </w:tc>
        <w:tc>
          <w:tcPr>
            <w:tcW w:type="dxa" w:w="6624"/>
            <w:vAlign w:val="center"/>
            <w:tcMar>
              <w:top w:w="65" w:type="dxa"/>
              <w:bottom w:w="65" w:type="dxa"/>
              <w:left w:w="85" w:type="dxa"/>
              <w:right w:w="85" w:type="dxa"/>
            </w:tcMar>
          </w:tcPr>
          <w:p>
            <w:pPr>
              <w:spacing w:after="0" w:line="247" w:lineRule="auto"/>
            </w:pPr>
            <w:r>
              <w:rPr>
                <w:b w:val="0"/>
                <w:sz w:val="19"/>
              </w:rPr>
              <w:t>Observed banana proportion in emotional minus neutral rows</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delta_phase2_proportion</w:t>
            </w:r>
          </w:p>
        </w:tc>
        <w:tc>
          <w:tcPr>
            <w:tcW w:type="dxa" w:w="6624"/>
            <w:vAlign w:val="center"/>
            <w:tcMar>
              <w:top w:w="65" w:type="dxa"/>
              <w:bottom w:w="65" w:type="dxa"/>
              <w:left w:w="85" w:type="dxa"/>
              <w:right w:w="85" w:type="dxa"/>
            </w:tcMar>
          </w:tcPr>
          <w:p>
            <w:pPr>
              <w:spacing w:after="0" w:line="247" w:lineRule="auto"/>
            </w:pPr>
            <w:r>
              <w:rPr>
                <w:b w:val="0"/>
                <w:sz w:val="19"/>
              </w:rPr>
              <w:t>Observed phase-2 proportion in emotional minus neutral rows</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emotional_pair_ids and neutral_pair_ids</w:t>
            </w:r>
          </w:p>
        </w:tc>
        <w:tc>
          <w:tcPr>
            <w:tcW w:type="dxa" w:w="6624"/>
            <w:vAlign w:val="center"/>
            <w:tcMar>
              <w:top w:w="65" w:type="dxa"/>
              <w:bottom w:w="65" w:type="dxa"/>
              <w:left w:w="85" w:type="dxa"/>
              <w:right w:w="85" w:type="dxa"/>
            </w:tcMar>
          </w:tcPr>
          <w:p>
            <w:pPr>
              <w:spacing w:after="0" w:line="247" w:lineRule="auto"/>
            </w:pPr>
            <w:r>
              <w:rPr>
                <w:b w:val="0"/>
                <w:sz w:val="19"/>
              </w:rPr>
              <w:t>Which actual pairs contributed</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emotional_mean_coverage and neutral_mean_coverage</w:t>
            </w:r>
          </w:p>
        </w:tc>
        <w:tc>
          <w:tcPr>
            <w:tcW w:type="dxa" w:w="6624"/>
            <w:vAlign w:val="center"/>
            <w:tcMar>
              <w:top w:w="65" w:type="dxa"/>
              <w:bottom w:w="65" w:type="dxa"/>
              <w:left w:w="85" w:type="dxa"/>
              <w:right w:w="85" w:type="dxa"/>
            </w:tcMar>
          </w:tcPr>
          <w:p>
            <w:pPr>
              <w:spacing w:after="0" w:line="247" w:lineRule="auto"/>
            </w:pPr>
            <w:r>
              <w:rPr>
                <w:b w:val="0"/>
                <w:sz w:val="19"/>
              </w:rPr>
              <w:t>Average scored-core coverage fraction by condition</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delta_coverage_fraction</w:t>
            </w:r>
          </w:p>
        </w:tc>
        <w:tc>
          <w:tcPr>
            <w:tcW w:type="dxa" w:w="6624"/>
            <w:vAlign w:val="center"/>
            <w:tcMar>
              <w:top w:w="65" w:type="dxa"/>
              <w:bottom w:w="65" w:type="dxa"/>
              <w:left w:w="85" w:type="dxa"/>
              <w:right w:w="85" w:type="dxa"/>
            </w:tcMar>
          </w:tcPr>
          <w:p>
            <w:pPr>
              <w:spacing w:after="0" w:line="247" w:lineRule="auto"/>
            </w:pPr>
            <w:r>
              <w:rPr>
                <w:b w:val="0"/>
                <w:sz w:val="19"/>
              </w:rPr>
              <w:t>Difference used only in the extra exploratory coverage model</w:t>
            </w:r>
          </w:p>
        </w:tc>
      </w:tr>
    </w:tbl>
    <w:p>
      <w:pPr>
        <w:spacing w:after="20"/>
      </w:pPr>
    </w:p>
    <w:p>
      <w:r>
        <w:t>One condition can have one usable pair and the other two. This is permitted by the current observed-data definition; it can alter participant composition. Inspect counts and pair IDs rather than assuming each mean represents all four scheduled participants.</w:t>
      </w:r>
    </w:p>
    <w:p>
      <w:pPr>
        <w:pStyle w:val="Heading2"/>
      </w:pPr>
      <w:r>
        <w:t>Primary coefficients and uncertainty</w:t>
      </w:r>
    </w:p>
    <w:p>
      <w:pPr>
        <w:spacing w:after="80"/>
      </w:pPr>
      <w:r>
        <w:rPr>
          <w:sz w:val="18"/>
        </w:rPr>
        <w:t>/Volumes/One Touch/KITCO3_drive/outputs/10_PLV_condition_comparison_v1_1_0/10_primary_coefficients.csv</w:t>
      </w:r>
    </w:p>
    <w:p>
      <w:pPr>
        <w:spacing w:after="80"/>
      </w:pPr>
      <w:r>
        <w:rPr>
          <w:sz w:val="18"/>
        </w:rPr>
        <w:t>/Volumes/One Touch/KITCO3_drive/outputs/10_PLV_condition_comparison_v1_1_0/10_primary_covariance_HC3.csv</w:t>
      </w:r>
    </w:p>
    <w:p>
      <w:pPr>
        <w:spacing w:after="80"/>
      </w:pPr>
      <w:r>
        <w:rPr>
          <w:sz w:val="18"/>
        </w:rPr>
        <w:t>/Volumes/One Touch/KITCO3_drive/outputs/10_PLV_condition_comparison_v1_1_0/10_primary_result.json</w:t>
      </w:r>
    </w:p>
    <w:p>
      <w:r>
        <w:t>The Intercept row is the primary adjusted emotional-minus-neutral contrast. The other two coefficients are recipe and round-order adjustments. Use estimate, HC3_SE, CI95_low, CI95_high, df and two_sided_p. The 3 × 3 covariance table is the coefficient covariance, not the covariance of pair observations.</w:t>
      </w:r>
    </w:p>
    <w:p>
      <w:r>
        <w:t>Model: D = Intercept + beta_recipe × delta_banana_proportion + beta_order × delta_phase2_proportion + error. Fit OLS without window-count or duration weights. Use HC3 and a two-sided t reference with 13 residual degrees of freedom. Do not add an extra residual-df correction to HC3. The intercept is a model-adjusted association, not the arithmetic mean difference shown by every descriptive plot.</w:t>
      </w:r>
    </w:p>
    <w:p>
      <w:pPr>
        <w:pStyle w:val="Heading2"/>
      </w:pPr>
      <w:r>
        <w:t>Window level scores if needed</w:t>
      </w:r>
    </w:p>
    <w:p>
      <w:pPr>
        <w:spacing w:after="80"/>
      </w:pPr>
      <w:r>
        <w:rPr>
          <w:sz w:val="18"/>
        </w:rPr>
        <w:t>/Volumes/One Touch/KITCO3_drive/outputs/05_PLV_feasibility_v1_0_0/05_working_window_diagnostics.csv</w:t>
      </w:r>
    </w:p>
    <w:p>
      <w:pPr>
        <w:spacing w:after="80"/>
      </w:pPr>
      <w:r>
        <w:rPr>
          <w:sz w:val="18"/>
        </w:rPr>
        <w:t>/Volumes/One Touch/KITCO3_drive/outputs/09_PLV_condition_audit_v1_1_0/09_window_traceability_10434.csv</w:t>
      </w:r>
    </w:p>
    <w:p>
      <w:r>
        <w:t>10,434 primary local windows. Join by pair_id, paired_segment_id and core_start_s. PLV is the individual window score; these rows are dependent because windows overlap. They are useful for traceability and time-course review, not 10,434 independent cases in a condition test.</w:t>
      </w:r>
    </w:p>
    <w:p>
      <w:pPr>
        <w:pStyle w:val="Heading2"/>
      </w:pPr>
      <w:r>
        <w:t>Diagnostics and sensitivity tables</w:t>
      </w:r>
    </w:p>
    <w:p>
      <w:pPr>
        <w:spacing w:after="80"/>
      </w:pPr>
      <w:r>
        <w:rPr>
          <w:sz w:val="18"/>
        </w:rPr>
        <w:t>/Volumes/One Touch/KITCO3_drive/outputs/10_PLV_condition_comparison_v1_1_0/10_session_diagnostics.csv</w:t>
      </w:r>
    </w:p>
    <w:p>
      <w:pPr>
        <w:spacing w:after="80"/>
      </w:pPr>
      <w:r>
        <w:rPr>
          <w:sz w:val="18"/>
        </w:rPr>
        <w:t>/Volumes/One Touch/KITCO3_drive/outputs/10_PLV_condition_comparison_v1_1_0/10_leave_one_session_out.csv</w:t>
      </w:r>
    </w:p>
    <w:p>
      <w:pPr>
        <w:spacing w:after="80"/>
      </w:pPr>
      <w:r>
        <w:rPr>
          <w:sz w:val="18"/>
        </w:rPr>
        <w:t>/Volumes/One Touch/KITCO3_drive/outputs/10_PLV_condition_comparison_v1_1_0/10_native_family_sensitivity.csv</w:t>
      </w:r>
    </w:p>
    <w:p>
      <w:pPr>
        <w:spacing w:after="80"/>
      </w:pPr>
      <w:r>
        <w:rPr>
          <w:sz w:val="18"/>
        </w:rPr>
        <w:t>/Volumes/One Touch/KITCO3_drive/outputs/10_PLV_condition_comparison_v1_1_0/10_common_pair_cohort_sensitivity.csv</w:t>
      </w:r>
    </w:p>
    <w:p>
      <w:pPr>
        <w:spacing w:after="80"/>
      </w:pPr>
      <w:r>
        <w:rPr>
          <w:sz w:val="18"/>
        </w:rPr>
        <w:t>/Volumes/One Touch/KITCO3_drive/outputs/10_PLV_condition_comparison_v1_1_0/10_matched_core_sensitivity.csv</w:t>
      </w:r>
    </w:p>
    <w:p>
      <w:pPr>
        <w:spacing w:after="80"/>
      </w:pPr>
      <w:r>
        <w:rPr>
          <w:sz w:val="18"/>
        </w:rPr>
        <w:t>/Volumes/One Touch/KITCO3_drive/outputs/10_PLV_condition_comparison_v1_1_0/10_sensitivity_membership.csv</w:t>
      </w:r>
    </w:p>
    <w:p>
      <w:pPr>
        <w:spacing w:after="80"/>
      </w:pPr>
      <w:r>
        <w:rPr>
          <w:sz w:val="18"/>
        </w:rPr>
        <w:t>/Volumes/One Touch/KITCO3_drive/outputs/10_PLV_condition_comparison_v1_1_0/10_sensitivity_sessions.csv</w:t>
      </w:r>
    </w:p>
    <w:p>
      <w:r>
        <w:t>Use these to inspect leverage/residuals, single-session influence, changed method support and the distinction between common pairs and matched scoring periods. Fifteen matched-core variant rows are available; duration variants cannot be treated as identical scoring cores. Secondary intervals are pointwise robustness summaries.</w:t>
      </w:r>
    </w:p>
    <w:p>
      <w:pPr>
        <w:pStyle w:val="Heading1"/>
      </w:pPr>
      <w:r>
        <w:t>Main figures</w:t>
      </w:r>
    </w:p>
    <w:p>
      <w:pPr>
        <w:pStyle w:val="Heading2"/>
      </w:pPr>
      <w:r>
        <w:t>Requested descriptive distribution</w:t>
      </w:r>
    </w:p>
    <w:p>
      <w:pPr>
        <w:spacing w:after="80"/>
      </w:pPr>
      <w:r>
        <w:rPr>
          <w:sz w:val="18"/>
        </w:rPr>
        <w:t>/Volumes/One Touch/KITCO3_drive/outputs/10_PLV_condition_comparison_v1_1_0/figures/10_all_pair_phase_distribution.pdf</w:t>
      </w:r>
    </w:p>
    <w:p>
      <w:r>
        <w:t>All 48 scored pair-phases: 22 neutral from 18 sessions, 26 emotional from 20 sessions. Dots are pair-phases; black diamonds are condition means across pair-phases; boxes show median/IQR and whiskers min/max. These are not confidence intervals. Six descriptive-only scores are included, and sessions with two scores have more influence on these descriptive condition means than those with one.</w:t>
      </w:r>
    </w:p>
    <w:p>
      <w:pPr>
        <w:pStyle w:val="Heading2"/>
      </w:pPr>
      <w:r>
        <w:t>Primary within session comparison</w:t>
      </w:r>
    </w:p>
    <w:p>
      <w:pPr>
        <w:spacing w:after="80"/>
      </w:pPr>
      <w:r>
        <w:rPr>
          <w:sz w:val="18"/>
        </w:rPr>
        <w:t>/Volumes/One Touch/KITCO3_drive/outputs/10_PLV_condition_comparison_v1_1_0/figures/10_primary_condition_comparison.pdf</w:t>
      </w:r>
    </w:p>
    <w:p>
      <w:r>
        <w:t>Panel A links the neutral/emotional averages for each of the same 16 sessions, not necessarily the same dyad. Panel B shows raw session differences. Panel C shows the recipe/order-adjusted estimate and approximate 95% interval. This is the main figure for the comparison Dr. Todd endorsed.</w:t>
      </w:r>
    </w:p>
    <w:p>
      <w:pPr>
        <w:pStyle w:val="Heading2"/>
      </w:pPr>
      <w:r>
        <w:t>Coverage and model diagnostics</w:t>
      </w:r>
    </w:p>
    <w:p>
      <w:pPr>
        <w:spacing w:after="80"/>
      </w:pPr>
      <w:r>
        <w:rPr>
          <w:sz w:val="18"/>
        </w:rPr>
        <w:t>/Volumes/One Touch/KITCO3_drive/outputs/10_PLV_condition_comparison_v1_1_0/figures/10_availability_and_coverage.pdf</w:t>
      </w:r>
    </w:p>
    <w:p>
      <w:pPr>
        <w:spacing w:after="80"/>
      </w:pPr>
      <w:r>
        <w:rPr>
          <w:sz w:val="18"/>
        </w:rPr>
        <w:t>/Volumes/One Touch/KITCO3_drive/outputs/10_PLV_condition_comparison_v1_1_0/figures/10_model_diagnostics.pdf</w:t>
      </w:r>
    </w:p>
    <w:p>
      <w:r>
        <w:t>The first shows candidate/scored support by story/recipe and descriptive score-versus-coverage. The second shows residuals, Q-Q, leverage and leave-one-session-out estimates. Neither automatically excludes observations.</w:t>
      </w:r>
    </w:p>
    <w:p>
      <w:pPr>
        <w:pStyle w:val="Heading2"/>
      </w:pPr>
      <w:r>
        <w:t>Method and timing robustness</w:t>
      </w:r>
    </w:p>
    <w:p>
      <w:pPr>
        <w:spacing w:after="80"/>
      </w:pPr>
      <w:r>
        <w:rPr>
          <w:sz w:val="18"/>
        </w:rPr>
        <w:t>/Volumes/One Touch/KITCO3_drive/outputs/10_PLV_condition_comparison_v1_1_0/figures/10_method_sensitivity.pdf</w:t>
      </w:r>
    </w:p>
    <w:p>
      <w:pPr>
        <w:spacing w:after="80"/>
      </w:pPr>
      <w:r>
        <w:rPr>
          <w:sz w:val="18"/>
        </w:rPr>
        <w:t>/Volumes/One Touch/KITCO3_drive/outputs/10_PLV_condition_comparison_v1_1_0/figures/10_clock_scenarios.pdf</w:t>
      </w:r>
    </w:p>
    <w:p>
      <w:pPr>
        <w:spacing w:after="80"/>
      </w:pPr>
      <w:r>
        <w:rPr>
          <w:sz w:val="18"/>
        </w:rPr>
        <w:t>/Volumes/One Touch/KITCO3_drive/outputs/10_PLV_condition_comparison_v1_1_0/figures/10_matched_core_changes.pdf</w:t>
      </w:r>
    </w:p>
    <w:p>
      <w:r>
        <w:t>These distinguish alternative methods, hypothetical clock perturbations and paired changes on matched cores. They do not validate physical clocks or establish that the chosen method is optimal.</w:t>
      </w:r>
    </w:p>
    <w:p>
      <w:pPr>
        <w:pStyle w:val="Heading2"/>
      </w:pPr>
      <w:r>
        <w:t>Source level review figures</w:t>
      </w:r>
    </w:p>
    <w:p>
      <w:pPr>
        <w:spacing w:after="80"/>
      </w:pPr>
      <w:r>
        <w:rPr>
          <w:sz w:val="18"/>
        </w:rPr>
        <w:t>/Volumes/One Touch/KITCO3_drive/outputs/05b_PLV_publication_figures_v1_1_0/index.html</w:t>
      </w:r>
    </w:p>
    <w:p>
      <w:pPr>
        <w:spacing w:after="80"/>
      </w:pPr>
      <w:r>
        <w:rPr>
          <w:sz w:val="18"/>
        </w:rPr>
        <w:t>/Volumes/One Touch/KITCO3_drive/outputs/05b_PLV_all_phase_plots_v1_0_0/05b_PLV_overview.pdf</w:t>
      </w:r>
    </w:p>
    <w:p>
      <w:pPr>
        <w:spacing w:after="80"/>
      </w:pPr>
      <w:r>
        <w:rPr>
          <w:sz w:val="18"/>
        </w:rPr>
        <w:t>/Volumes/One Touch/KITCO3_drive/outputs/03_ecg_QC_v2_1_0/figures/03_QC_coverage_presentation.pdf</w:t>
      </w:r>
    </w:p>
    <w:p>
      <w:r>
        <w:t>Use the publication index to inspect pair-specific IBI/PLV/ECG and each accepted window. The overview links all 71 candidates, including unavailable scores. The QC coverage figure describes trusted IBI duration before the complete-window PLV requirement. In the pair-specific top IBI panels, y-axis limits were auto-scaled per pair; compare numerical units rather than apparent curve height across differently scaled panels. PLV full and enlarged scales are shared.</w:t>
      </w:r>
    </w:p>
    <w:p>
      <w:pPr>
        <w:pStyle w:val="Heading1"/>
      </w:pPr>
      <w:r>
        <w:t>Reproduce only the comparison</w:t>
      </w:r>
    </w:p>
    <w:p>
      <w:r>
        <w:t>No repeat of raw ECG processing or PLV calculation is needed to reproduce the unchanged comparison. Keep the complete Script09 output, including source_script07 and its status/sealed files. Script08 numerical results and the old v0.5.0 window package are not required. At minimum, Script10 needs numpy, pandas, scipy and matplotlib in the working Python environment.</w:t>
      </w:r>
    </w:p>
    <w:p>
      <w:pPr>
        <w:keepNext/>
      </w:pPr>
      <w:r>
        <w:t>Read-only numerical self-tests:</w:t>
      </w:r>
    </w:p>
    <w:p>
      <w:pPr>
        <w:keepNext w:val="0"/>
        <w:spacing w:after="140" w:line="245" w:lineRule="auto"/>
      </w:pPr>
      <w:r>
        <w:rPr>
          <w:rFonts w:ascii="DejaVu Sans Mono" w:hAnsi="DejaVu Sans Mono"/>
          <w:sz w:val="16"/>
        </w:rPr>
        <w:t>python3 "/Volumes/One Touch/KITCO3_drive/scripts/10_KITCO3_PLV_plots_comparison_v1_1_0_EG.py" --self-test-only</w:t>
      </w:r>
    </w:p>
    <w:p>
      <w:pPr>
        <w:keepNext/>
      </w:pPr>
      <w:r>
        <w:t>Reproduce from the existing PASS Script09 audit into a NEW folder. The example destination must not already exist:</w:t>
      </w:r>
    </w:p>
    <w:p>
      <w:pPr>
        <w:keepNext/>
        <w:spacing w:after="0" w:line="245" w:lineRule="auto"/>
      </w:pPr>
      <w:r>
        <w:rPr>
          <w:rFonts w:ascii="DejaVu Sans Mono" w:hAnsi="DejaVu Sans Mono"/>
          <w:sz w:val="16"/>
        </w:rPr>
        <w:t>python3 "/Volumes/One Touch/KITCO3_drive/scripts/10_KITCO3_PLV_plots_comparison_v1_1_0_EG.py" \</w:t>
      </w:r>
    </w:p>
    <w:p>
      <w:pPr>
        <w:keepNext/>
        <w:spacing w:after="0" w:line="245" w:lineRule="auto"/>
      </w:pPr>
      <w:r>
        <w:rPr>
          <w:rFonts w:ascii="DejaVu Sans Mono" w:hAnsi="DejaVu Sans Mono"/>
          <w:sz w:val="16"/>
        </w:rPr>
        <w:t xml:space="preserve">  --audit-dir "/Volumes/One Touch/KITCO3_drive/outputs/09_PLV_condition_audit_v1_1_0" \</w:t>
      </w:r>
    </w:p>
    <w:p>
      <w:pPr>
        <w:keepNext w:val="0"/>
        <w:spacing w:after="140" w:line="245" w:lineRule="auto"/>
      </w:pPr>
      <w:r>
        <w:rPr>
          <w:rFonts w:ascii="DejaVu Sans Mono" w:hAnsi="DejaVu Sans Mono"/>
          <w:sz w:val="16"/>
        </w:rPr>
        <w:t xml:space="preserve">  --output-dir "/Volumes/One Touch/KITCO3_drive/outputs/10_PLV_condition_comparison_v1_1_0_Joey_replay_01"</w:t>
      </w:r>
    </w:p>
    <w:p>
      <w:r>
        <w:t>This command is appropriate when the same external drive is mounted on Joey’s Mac under the same volume name. If the copied audit is elsewhere, give its actual absolute path in --audit-dir and select a separate new output directory. Do not edit sealed CSVs, status JSON or hash values in place. Script10 intentionally refuses changed sources and overwrite. New scientific settings require a separately versioned specification and audit; changing a CSV is not a supported model override.</w:t>
      </w:r>
    </w:p>
    <w:p>
      <w:r>
        <w:t>To reproduce the audit too, use the main Script09 command in the script guide. Its default root is the external drive, and it needs the runsheet plus complete native Script04–07 releases. Use --runsheet, --script04-dir, --script05-dir, --script06-dir, --script07-dir and --output-dir explicitly if copied elsewhere. Then point Script10 --audit-dir to that new PASS audit.</w:t>
      </w:r>
    </w:p>
    <w:p>
      <w:pPr>
        <w:pStyle w:val="Heading1"/>
      </w:pPr>
      <w:r>
        <w:t>Result to expect</w:t>
      </w:r>
    </w:p>
    <w:p>
      <w:r>
        <w:t>Adjusted difference +0.0053487 PLV; HC3 SE 0.0163536; approximate 95% CI −0.0299810 to +0.0406784; two-sided p = 0.7488245; 16 sessions, 42 scored pair-phases, residual df 13. No clear statistical evidence of a condition difference under the declared model and exported-time assumption. This is not proof of equivalence, absent interpersonal coupling or a causal effect.</w:t>
      </w:r>
    </w:p>
    <w:p>
      <w:r>
        <w:t>The October 30 review independently reproduced all 10,434 primary window scores and the primary model, passed the native audit/self-tests, and replayed all 14 Script10 CSV tables within numerical tolerance. The original Mac environment differs from the review environment; provenance/figure bytes can differ while numerical results agree. Earlier raw-source processing was not newly re-executed here, and physical timing and missingness remain unresolved limitations.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KITCO3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KITCO3 Comparison Analysis Handoff</dc:title>
  <dc:subject>KITCO3 native pipeline final review October 30 2026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