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KITCO3 ECG Quality Control and Inclusion Decisions</w:t>
      </w:r>
    </w:p>
    <w:p>
      <w:r>
        <w:t>This guide separates automated technical QC, documented waveform assessment, paired signal support and final PLV eligibility. The final dataset contains 48 scored pair-phases from 22 sessions; 42 scores from 16 sessions enter the current within-session condition comparison. QC decisions were not based on obtaining a high PLV or a significant condition result.</w:t>
      </w:r>
    </w:p>
    <w:p>
      <w:pPr>
        <w:pStyle w:val="Heading1"/>
      </w:pPr>
      <w:r>
        <w:t>What the review covered</w:t>
      </w:r>
    </w:p>
    <w:p>
      <w:r>
        <w:t>The full-cooking waveform scope comprised 142 selected recordings from 71 actual pair-phases in 25 sessions. All 216 scheduled participant-rounds remain in the participant-phase register, including absent, unavailable and out-of-review cases. Neither a scheduled row nor a technical candidate is proof of a valid recording.</w:t>
      </w:r>
    </w:p>
    <w:p>
      <w:r>
        <w:t>The source review was an AI-assisted waveform assessment, preserved as explicit decisions and replayed by Script03. It was not a new independent human or clinical adjudication of every beat. The completed Script03 status explicitly says current_visual_review_performed=False. Regenerating a plot or reproducing a hash is not a fresh visual assessment.</w:t>
      </w:r>
    </w:p>
    <w:p>
      <w:r>
        <w:t>The frozen assessment included full-period overviews, deterministic 10-second snippets near 10%, 50% and 90% of cooking, 504 flagged epochs in 130 tractable recordings, separate assessment of 12 difficult recordings, targeted late recovery, correction verification, prior-mask retention views, residual-interval checks and cooking-boundary checks. The code for the current waveform decisions does not select by story or PLV, but earlier exploratory outputs had been examined; the work must not be described retrospectively as fully outcome-blind.</w:t>
      </w:r>
    </w:p>
    <w:p>
      <w:pPr>
        <w:pStyle w:val="Heading1"/>
      </w:pPr>
      <w:r>
        <w:t>Technical source checks before waveform decisions</w:t>
      </w:r>
    </w:p>
    <w:p>
      <w:r>
        <w:t>Script01 reconciles raw attempts, sensor identity, participant, cooking round and annotations to the verified runsheet. Reciprocal actual partner assignments and condition labels are checked; planned partners alone are insufficient. Literal NA is neutral/apple, not a missing entry. Restarts and duplicates are documented rather than silently combined.</w:t>
      </w:r>
    </w:p>
    <w:p>
      <w:r>
        <w:t>Script02 processes continuous ECG segments, preserves original and automatic corrected detections, and records technical errors, missing/malformed rows, clock breaks, processing support and warnings. The technical gap threshold is max(0.1 seconds, five median positive timestamp intervals); minimum processing segment length is 10 seconds. These are processing settings, separate from the later stricter reviewed continuity rule.</w:t>
      </w:r>
    </w:p>
    <w:p>
      <w:r>
        <w:t>The historical technical selector prioritizes successfully processed, safe-timestamp candidates with corrected RR support and no processing ERRORs. It ranks cooking processed coverage and corrected RR count, with annotation/time-integrity and other documented tie-breakers. Where cooking boundaries conflict, review is needed rather than choosing by synchrony. The selected set must match the frozen 173-row selection, and original detector-array compatibility is checked for the 142 waveform-reviewed sources.</w:t>
      </w:r>
    </w:p>
    <w:p>
      <w:pPr>
        <w:pStyle w:val="Heading1"/>
      </w:pPr>
      <w:r>
        <w:t>Rules for retaining and withholding ECG</w:t>
      </w:r>
    </w:p>
    <w:p>
      <w:pPr>
        <w:pStyle w:val="Heading2"/>
      </w:pPr>
      <w:r>
        <w:t>Retain measured timing when the waveform supports it</w:t>
      </w:r>
    </w:p>
    <w:p>
      <w:r>
        <w:t>Recognizable recurring QRS fiducials can remain valid during movement or a baseline transient. Low template correlation, detector disagreement or unusual IBI generates a review cue; it is not automatic whole-record exclusion. Long intervals can be real if no intermediate QRS is visible. Review uses raw and display-filtered ECG together.</w:t>
      </w:r>
    </w:p>
    <w:p>
      <w:r>
        <w:t>The display filter is 5–25 Hz, third-order Butterworth forward-backward within continuous source segments. It helps view QRS morphology. It is not the 0.04–0.15 Hz IBI filter used for PLV and is not by itself proof that a complex is cardiac.</w:t>
      </w:r>
    </w:p>
    <w:p>
      <w:pPr>
        <w:pStyle w:val="Heading2"/>
      </w:pPr>
      <w:r>
        <w:t>Apply source supported edits only</w:t>
      </w:r>
    </w:p>
    <w:p>
      <w:r>
        <w:t>Seven prior edit actions were reused. The full-cooking review accepted 79 additional actions across 21 recordings: 45 false marks removed and 34 marks relocated to visible crests at existing source samples. Total documented actions are 86. Relocations do not change the beat count. Raw ECG is unchanged and no heartbeat time is interpolated or invented.</w:t>
      </w:r>
    </w:p>
    <w:p>
      <w:r>
        <w:t>Thirteen proposed edits were withdrawn when source evidence did not support the change. Withdrawn proposals remain in the decision record but are not applied. The review does not delete a waveform complex simply to make the IBI series smoother or assign a clinical rhythm diagnosis.</w:t>
      </w:r>
    </w:p>
    <w:p>
      <w:r>
        <w:t>Cooking marks: 100,533 original; 100,527 after prior edits; 100,482 retained after new removals; 95,733 trusted after withholding. Retained and trusted are different: a mark may remain in the peak list but lie in a region whose timing is withheld.</w:t>
      </w:r>
    </w:p>
    <w:p>
      <w:pPr>
        <w:pStyle w:val="Heading2"/>
      </w:pPr>
      <w:r>
        <w:t>Withhold unresolved local timing and clock crossings</w:t>
      </w:r>
    </w:p>
    <w:p>
      <w:r>
        <w:t>There are 148 explicit withholding decisions across 34 recordings. Decisions can overlap, so this is not 148 separate gaps. Requested limits are snapped outward to observed samples with documented neighbor padding; actual source indices and realized bounds are preserved. Coverage uses unions to avoid counting overlapping losses twice.</w:t>
      </w:r>
    </w:p>
    <w:p>
      <w:r>
        <w:t>The historical reviewed source continuity rule flags nonpositive timestamp steps or positive steps exceeding five estimated sample intervals. It identified 50 cooking boundaries across eight recordings in seven pair-phases. Crossing intervals are invalid even if labels overlap after a backward jump. Source order is preserved; sorting or concatenating across resets would conceal unknown timing.</w:t>
      </w:r>
    </w:p>
    <w:p>
      <w:pPr>
        <w:pStyle w:val="Heading2"/>
      </w:pPr>
      <w:r>
        <w:t>Construct trusted intervals without bridging</w:t>
      </w:r>
    </w:p>
    <w:p>
      <w:r>
        <w:t>A valid IBI uses adjacent retained peaks with trusted endpoints in the same clock segment, with no withheld possible heartbeat or clock break between them. Its value comes from measured timestamp differences and is placed at the midpoint. For invalid intervals, observed_rr_s remains available but ibi_s is missing. Missing is never set to zero, and time is not compressed. Only explicitly reviewed pre-cooking support is trusted outside the cooking interval.</w:t>
      </w:r>
    </w:p>
    <w:p>
      <w:r>
        <w:t>Residual review cues include IBI outside 0.3–2 seconds or a ratio below 0.55 or above 1.7 relative to an 11-interval local median. These are inspection/consistency cues, not universal physiological exclusion cutoffs. A clean residual cue table does not independently prove all beats correct.</w:t>
      </w:r>
    </w:p>
    <w:p>
      <w:pPr>
        <w:pStyle w:val="Heading1"/>
      </w:pPr>
      <w:r>
        <w:t>Local decisions and important exceptions</w:t>
      </w:r>
    </w:p>
    <w:p>
      <w:r>
        <w:t>S006 phase 1 PID024: the large baseline transient near 455.8 seconds retained identifiable QRS timing; it was not broadly masked solely because of movement amplitude.</w:t>
      </w:r>
    </w:p>
    <w:p>
      <w:r>
        <w:t>S005 phase 1 PID019: local QRS recovery after about 773 seconds was retained, with an additional uncertain interval around 898–902 seconds and the actual raw-file endpoint respected. This is valid partial support, but its continuous intervals are insufficient for a complete 280-second primary PLV context.</w:t>
      </w:r>
    </w:p>
    <w:p>
      <w:r>
        <w:t>Eleven reviewed recordings have no retained cooking IBI under the present extraction. This means unvalidated for this analysis, not proven impossible to recover through future expert assessment. This recording count is distinct from the eleven pair-phases without a paired interpolation grid, even though the numbers happen to match.</w:t>
      </w:r>
    </w:p>
    <w:p>
      <w:r>
        <w:t>The 53 earlier broad mask proposals were not adopted wholesale. The crosswalk records whether each was narrowed, replaced by explicit local decisions or retained without broad exclusion. Earlier 56/15, 43/28 and first-180-second queues are historical review labels, not the final full-cooking cohort.</w:t>
      </w:r>
    </w:p>
    <w:p>
      <w:pPr>
        <w:pStyle w:val="Heading1"/>
      </w:pPr>
      <w:r>
        <w:t>From reviewed ECG to final analysis membership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936"/>
        <w:gridCol w:w="5688"/>
      </w:tblGrid>
      <w:tr>
        <w:trPr>
          <w:cantSplit/>
          <w:tblHeader/>
        </w:trPr>
        <w:tc>
          <w:tcPr>
            <w:tcW w:type="dxa" w:w="3600"/>
            <w:vAlign w:val="center"/>
            <w:tcMar>
              <w:top w:w="65" w:type="dxa"/>
              <w:bottom w:w="65" w:type="dxa"/>
              <w:left w:w="85" w:type="dxa"/>
              <w:right w:w="85" w:type="dxa"/>
            </w:tcMar>
            <w:shd w:fill="EEEEEE"/>
          </w:tcPr>
          <w:p>
            <w:pPr>
              <w:spacing w:after="0" w:line="247" w:lineRule="auto"/>
            </w:pPr>
            <w:r>
              <w:rPr>
                <w:b/>
                <w:sz w:val="19"/>
              </w:rPr>
              <w:t>Population or gate</w:t>
            </w:r>
          </w:p>
        </w:tc>
        <w:tc>
          <w:tcPr>
            <w:tcW w:type="dxa" w:w="936"/>
            <w:vAlign w:val="center"/>
            <w:tcMar>
              <w:top w:w="65" w:type="dxa"/>
              <w:bottom w:w="65" w:type="dxa"/>
              <w:left w:w="85" w:type="dxa"/>
              <w:right w:w="85" w:type="dxa"/>
            </w:tcMar>
            <w:shd w:fill="EEEEEE"/>
          </w:tcPr>
          <w:p>
            <w:pPr>
              <w:spacing w:after="0" w:line="247" w:lineRule="auto"/>
            </w:pPr>
            <w:r>
              <w:rPr>
                <w:b/>
                <w:sz w:val="19"/>
              </w:rPr>
              <w:t>Number</w:t>
            </w:r>
          </w:p>
        </w:tc>
        <w:tc>
          <w:tcPr>
            <w:tcW w:type="dxa" w:w="5688"/>
            <w:vAlign w:val="center"/>
            <w:tcMar>
              <w:top w:w="65" w:type="dxa"/>
              <w:bottom w:w="65" w:type="dxa"/>
              <w:left w:w="85" w:type="dxa"/>
              <w:right w:w="85" w:type="dxa"/>
            </w:tcMar>
            <w:shd w:fill="EEEEEE"/>
          </w:tcPr>
          <w:p>
            <w:pPr>
              <w:spacing w:after="0" w:line="247" w:lineRule="auto"/>
            </w:pPr>
            <w:r>
              <w:rPr>
                <w:b/>
                <w:sz w:val="19"/>
              </w:rPr>
              <w:t>Meaning</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Active actual pair-phases</w:t>
            </w:r>
          </w:p>
        </w:tc>
        <w:tc>
          <w:tcPr>
            <w:tcW w:type="dxa" w:w="936"/>
            <w:vAlign w:val="center"/>
            <w:tcMar>
              <w:top w:w="65" w:type="dxa"/>
              <w:bottom w:w="65" w:type="dxa"/>
              <w:left w:w="85" w:type="dxa"/>
              <w:right w:w="85" w:type="dxa"/>
            </w:tcMar>
          </w:tcPr>
          <w:p>
            <w:pPr>
              <w:spacing w:after="0" w:line="247" w:lineRule="auto"/>
            </w:pPr>
            <w:r>
              <w:rPr>
                <w:b w:val="0"/>
                <w:sz w:val="19"/>
              </w:rPr>
              <w:t>94</w:t>
            </w:r>
          </w:p>
        </w:tc>
        <w:tc>
          <w:tcPr>
            <w:tcW w:type="dxa" w:w="5688"/>
            <w:vAlign w:val="center"/>
            <w:tcMar>
              <w:top w:w="65" w:type="dxa"/>
              <w:bottom w:w="65" w:type="dxa"/>
              <w:left w:w="85" w:type="dxa"/>
              <w:right w:w="85" w:type="dxa"/>
            </w:tcMar>
          </w:tcPr>
          <w:p>
            <w:pPr>
              <w:spacing w:after="0" w:line="247" w:lineRule="auto"/>
            </w:pPr>
            <w:r>
              <w:rPr>
                <w:b w:val="0"/>
                <w:sz w:val="19"/>
              </w:rPr>
              <w:t>Actual reciprocal cooking pairs from the runsheet</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Outside selected native paired-source scope</w:t>
            </w:r>
          </w:p>
        </w:tc>
        <w:tc>
          <w:tcPr>
            <w:tcW w:type="dxa" w:w="936"/>
            <w:vAlign w:val="center"/>
            <w:tcMar>
              <w:top w:w="65" w:type="dxa"/>
              <w:bottom w:w="65" w:type="dxa"/>
              <w:left w:w="85" w:type="dxa"/>
              <w:right w:w="85" w:type="dxa"/>
            </w:tcMar>
          </w:tcPr>
          <w:p>
            <w:pPr>
              <w:spacing w:after="0" w:line="247" w:lineRule="auto"/>
            </w:pPr>
            <w:r>
              <w:rPr>
                <w:b w:val="0"/>
                <w:sz w:val="19"/>
              </w:rPr>
              <w:t>23</w:t>
            </w:r>
          </w:p>
        </w:tc>
        <w:tc>
          <w:tcPr>
            <w:tcW w:type="dxa" w:w="5688"/>
            <w:vAlign w:val="center"/>
            <w:tcMar>
              <w:top w:w="65" w:type="dxa"/>
              <w:bottom w:w="65" w:type="dxa"/>
              <w:left w:w="85" w:type="dxa"/>
              <w:right w:w="85" w:type="dxa"/>
            </w:tcMar>
          </w:tcPr>
          <w:p>
            <w:pPr>
              <w:spacing w:after="0" w:line="247" w:lineRule="auto"/>
            </w:pPr>
            <w:r>
              <w:rPr>
                <w:b w:val="0"/>
                <w:sz w:val="19"/>
              </w:rPr>
              <w:t>Not all proven bad ECG or never-recorded data</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Selected candidates</w:t>
            </w:r>
          </w:p>
        </w:tc>
        <w:tc>
          <w:tcPr>
            <w:tcW w:type="dxa" w:w="936"/>
            <w:vAlign w:val="center"/>
            <w:tcMar>
              <w:top w:w="65" w:type="dxa"/>
              <w:bottom w:w="65" w:type="dxa"/>
              <w:left w:w="85" w:type="dxa"/>
              <w:right w:w="85" w:type="dxa"/>
            </w:tcMar>
          </w:tcPr>
          <w:p>
            <w:pPr>
              <w:spacing w:after="0" w:line="247" w:lineRule="auto"/>
            </w:pPr>
            <w:r>
              <w:rPr>
                <w:b w:val="0"/>
                <w:sz w:val="19"/>
              </w:rPr>
              <w:t>71</w:t>
            </w:r>
          </w:p>
        </w:tc>
        <w:tc>
          <w:tcPr>
            <w:tcW w:type="dxa" w:w="5688"/>
            <w:vAlign w:val="center"/>
            <w:tcMar>
              <w:top w:w="65" w:type="dxa"/>
              <w:bottom w:w="65" w:type="dxa"/>
              <w:left w:w="85" w:type="dxa"/>
              <w:right w:w="85" w:type="dxa"/>
            </w:tcMar>
          </w:tcPr>
          <w:p>
            <w:pPr>
              <w:spacing w:after="0" w:line="247" w:lineRule="auto"/>
            </w:pPr>
            <w:r>
              <w:rPr>
                <w:b w:val="0"/>
                <w:sz w:val="19"/>
              </w:rPr>
              <w:t>Two selected sources and a matched cooking interval</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Candidates with some joint reviewed IBI support</w:t>
            </w:r>
          </w:p>
        </w:tc>
        <w:tc>
          <w:tcPr>
            <w:tcW w:type="dxa" w:w="936"/>
            <w:vAlign w:val="center"/>
            <w:tcMar>
              <w:top w:w="65" w:type="dxa"/>
              <w:bottom w:w="65" w:type="dxa"/>
              <w:left w:w="85" w:type="dxa"/>
              <w:right w:w="85" w:type="dxa"/>
            </w:tcMar>
          </w:tcPr>
          <w:p>
            <w:pPr>
              <w:spacing w:after="0" w:line="247" w:lineRule="auto"/>
            </w:pPr>
            <w:r>
              <w:rPr>
                <w:b w:val="0"/>
                <w:sz w:val="19"/>
              </w:rPr>
              <w:t>60</w:t>
            </w:r>
          </w:p>
        </w:tc>
        <w:tc>
          <w:tcPr>
            <w:tcW w:type="dxa" w:w="5688"/>
            <w:vAlign w:val="center"/>
            <w:tcMar>
              <w:top w:w="65" w:type="dxa"/>
              <w:bottom w:w="65" w:type="dxa"/>
              <w:left w:w="85" w:type="dxa"/>
              <w:right w:w="85" w:type="dxa"/>
            </w:tcMar>
          </w:tcPr>
          <w:p>
            <w:pPr>
              <w:spacing w:after="0" w:line="247" w:lineRule="auto"/>
            </w:pPr>
            <w:r>
              <w:rPr>
                <w:b w:val="0"/>
                <w:sz w:val="19"/>
              </w:rPr>
              <w:t>May still be too fragmented for PLV</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Candidates with no paired IBI grid</w:t>
            </w:r>
          </w:p>
        </w:tc>
        <w:tc>
          <w:tcPr>
            <w:tcW w:type="dxa" w:w="936"/>
            <w:vAlign w:val="center"/>
            <w:tcMar>
              <w:top w:w="65" w:type="dxa"/>
              <w:bottom w:w="65" w:type="dxa"/>
              <w:left w:w="85" w:type="dxa"/>
              <w:right w:w="85" w:type="dxa"/>
            </w:tcMar>
          </w:tcPr>
          <w:p>
            <w:pPr>
              <w:spacing w:after="0" w:line="247" w:lineRule="auto"/>
            </w:pPr>
            <w:r>
              <w:rPr>
                <w:b w:val="0"/>
                <w:sz w:val="19"/>
              </w:rPr>
              <w:t>11</w:t>
            </w:r>
          </w:p>
        </w:tc>
        <w:tc>
          <w:tcPr>
            <w:tcW w:type="dxa" w:w="5688"/>
            <w:vAlign w:val="center"/>
            <w:tcMar>
              <w:top w:w="65" w:type="dxa"/>
              <w:bottom w:w="65" w:type="dxa"/>
              <w:left w:w="85" w:type="dxa"/>
              <w:right w:w="85" w:type="dxa"/>
            </w:tcMar>
          </w:tcPr>
          <w:p>
            <w:pPr>
              <w:spacing w:after="0" w:line="247" w:lineRule="auto"/>
            </w:pPr>
            <w:r>
              <w:rPr>
                <w:b w:val="0"/>
                <w:sz w:val="19"/>
              </w:rPr>
              <w:t>No valid common midpoint-grid support</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Candidates with grid but no complete primary context</w:t>
            </w:r>
          </w:p>
        </w:tc>
        <w:tc>
          <w:tcPr>
            <w:tcW w:type="dxa" w:w="936"/>
            <w:vAlign w:val="center"/>
            <w:tcMar>
              <w:top w:w="65" w:type="dxa"/>
              <w:bottom w:w="65" w:type="dxa"/>
              <w:left w:w="85" w:type="dxa"/>
              <w:right w:w="85" w:type="dxa"/>
            </w:tcMar>
          </w:tcPr>
          <w:p>
            <w:pPr>
              <w:spacing w:after="0" w:line="247" w:lineRule="auto"/>
            </w:pPr>
            <w:r>
              <w:rPr>
                <w:b w:val="0"/>
                <w:sz w:val="19"/>
              </w:rPr>
              <w:t>12</w:t>
            </w:r>
          </w:p>
        </w:tc>
        <w:tc>
          <w:tcPr>
            <w:tcW w:type="dxa" w:w="5688"/>
            <w:vAlign w:val="center"/>
            <w:tcMar>
              <w:top w:w="65" w:type="dxa"/>
              <w:bottom w:w="65" w:type="dxa"/>
              <w:left w:w="85" w:type="dxa"/>
              <w:right w:w="85" w:type="dxa"/>
            </w:tcMar>
          </w:tcPr>
          <w:p>
            <w:pPr>
              <w:spacing w:after="0" w:line="247" w:lineRule="auto"/>
            </w:pPr>
            <w:r>
              <w:rPr>
                <w:b w:val="0"/>
                <w:sz w:val="19"/>
              </w:rPr>
              <w:t>Continuous support insufficient for 280 seconds</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Scored pair-phases</w:t>
            </w:r>
          </w:p>
        </w:tc>
        <w:tc>
          <w:tcPr>
            <w:tcW w:type="dxa" w:w="936"/>
            <w:vAlign w:val="center"/>
            <w:tcMar>
              <w:top w:w="65" w:type="dxa"/>
              <w:bottom w:w="65" w:type="dxa"/>
              <w:left w:w="85" w:type="dxa"/>
              <w:right w:w="85" w:type="dxa"/>
            </w:tcMar>
          </w:tcPr>
          <w:p>
            <w:pPr>
              <w:spacing w:after="0" w:line="247" w:lineRule="auto"/>
            </w:pPr>
            <w:r>
              <w:rPr>
                <w:b w:val="0"/>
                <w:sz w:val="19"/>
              </w:rPr>
              <w:t>48</w:t>
            </w:r>
          </w:p>
        </w:tc>
        <w:tc>
          <w:tcPr>
            <w:tcW w:type="dxa" w:w="5688"/>
            <w:vAlign w:val="center"/>
            <w:tcMar>
              <w:top w:w="65" w:type="dxa"/>
              <w:bottom w:w="65" w:type="dxa"/>
              <w:left w:w="85" w:type="dxa"/>
              <w:right w:w="85" w:type="dxa"/>
            </w:tcMar>
          </w:tcPr>
          <w:p>
            <w:pPr>
              <w:spacing w:after="0" w:line="247" w:lineRule="auto"/>
            </w:pPr>
            <w:r>
              <w:rPr>
                <w:b w:val="0"/>
                <w:sz w:val="19"/>
              </w:rPr>
              <w:t>At least one finite valid primary window</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Scored pair-phases entering the condition comparison</w:t>
            </w:r>
          </w:p>
        </w:tc>
        <w:tc>
          <w:tcPr>
            <w:tcW w:type="dxa" w:w="936"/>
            <w:vAlign w:val="center"/>
            <w:tcMar>
              <w:top w:w="65" w:type="dxa"/>
              <w:bottom w:w="65" w:type="dxa"/>
              <w:left w:w="85" w:type="dxa"/>
              <w:right w:w="85" w:type="dxa"/>
            </w:tcMar>
          </w:tcPr>
          <w:p>
            <w:pPr>
              <w:spacing w:after="0" w:line="247" w:lineRule="auto"/>
            </w:pPr>
            <w:r>
              <w:rPr>
                <w:b w:val="0"/>
                <w:sz w:val="19"/>
              </w:rPr>
              <w:t>42</w:t>
            </w:r>
          </w:p>
        </w:tc>
        <w:tc>
          <w:tcPr>
            <w:tcW w:type="dxa" w:w="5688"/>
            <w:vAlign w:val="center"/>
            <w:tcMar>
              <w:top w:w="65" w:type="dxa"/>
              <w:bottom w:w="65" w:type="dxa"/>
              <w:left w:w="85" w:type="dxa"/>
              <w:right w:w="85" w:type="dxa"/>
            </w:tcMar>
          </w:tcPr>
          <w:p>
            <w:pPr>
              <w:spacing w:after="0" w:line="247" w:lineRule="auto"/>
            </w:pPr>
            <w:r>
              <w:rPr>
                <w:b w:val="0"/>
                <w:sz w:val="19"/>
              </w:rPr>
              <w:t>Belong to 16 sessions with both conditions</w:t>
            </w:r>
          </w:p>
        </w:tc>
      </w:tr>
      <w:tr>
        <w:trPr>
          <w:cantSplit/>
        </w:trPr>
        <w:tc>
          <w:tcPr>
            <w:tcW w:type="dxa" w:w="3600"/>
            <w:vAlign w:val="center"/>
            <w:tcMar>
              <w:top w:w="65" w:type="dxa"/>
              <w:bottom w:w="65" w:type="dxa"/>
              <w:left w:w="85" w:type="dxa"/>
              <w:right w:w="85" w:type="dxa"/>
            </w:tcMar>
          </w:tcPr>
          <w:p>
            <w:pPr>
              <w:spacing w:after="0" w:line="247" w:lineRule="auto"/>
            </w:pPr>
            <w:r>
              <w:rPr>
                <w:b w:val="0"/>
                <w:sz w:val="19"/>
              </w:rPr>
              <w:t>Scored pair-phases descriptive only</w:t>
            </w:r>
          </w:p>
        </w:tc>
        <w:tc>
          <w:tcPr>
            <w:tcW w:type="dxa" w:w="936"/>
            <w:vAlign w:val="center"/>
            <w:tcMar>
              <w:top w:w="65" w:type="dxa"/>
              <w:bottom w:w="65" w:type="dxa"/>
              <w:left w:w="85" w:type="dxa"/>
              <w:right w:w="85" w:type="dxa"/>
            </w:tcMar>
          </w:tcPr>
          <w:p>
            <w:pPr>
              <w:spacing w:after="0" w:line="247" w:lineRule="auto"/>
            </w:pPr>
            <w:r>
              <w:rPr>
                <w:b w:val="0"/>
                <w:sz w:val="19"/>
              </w:rPr>
              <w:t>6</w:t>
            </w:r>
          </w:p>
        </w:tc>
        <w:tc>
          <w:tcPr>
            <w:tcW w:type="dxa" w:w="5688"/>
            <w:vAlign w:val="center"/>
            <w:tcMar>
              <w:top w:w="65" w:type="dxa"/>
              <w:bottom w:w="65" w:type="dxa"/>
              <w:left w:w="85" w:type="dxa"/>
              <w:right w:w="85" w:type="dxa"/>
            </w:tcMar>
          </w:tcPr>
          <w:p>
            <w:pPr>
              <w:spacing w:after="0" w:line="247" w:lineRule="auto"/>
            </w:pPr>
            <w:r>
              <w:rPr>
                <w:b w:val="0"/>
                <w:sz w:val="19"/>
              </w:rPr>
              <w:t>Session lacks the other scored condition</w:t>
            </w:r>
          </w:p>
        </w:tc>
      </w:tr>
    </w:tbl>
    <w:p>
      <w:pPr>
        <w:spacing w:after="20"/>
      </w:pPr>
    </w:p>
    <w:p>
      <w:r>
        <w:t>The 23 active rows outside the selected-source scope are retained in the Script09 audit. Their source/annotation reasons must be read from the original reconciliation and selection notes; do not label all of them waveform failures. The six descriptive-only scored phases passed the score-availability rule; their omission from the main model is a comparison-design decision, not an ECG exclusion.</w:t>
      </w:r>
    </w:p>
    <w:p>
      <w:r>
        <w:t>For PLV, each accepted window needs 200 seconds of scored data plus 40 seconds on either side, fully supported in one continuous paired segment. There is no new fraction-of-cooking threshold, no requirement for a significant/high score and no first-three-minute-only rule. Longer valid records yield more overlapping windows, which are not independent observations.</w:t>
      </w:r>
    </w:p>
    <w:p>
      <w:pPr>
        <w:pStyle w:val="Heading1"/>
      </w:pPr>
      <w:r>
        <w:t>Execution repairs and what they did not change</w:t>
      </w:r>
    </w:p>
    <w:p>
      <w:r>
        <w:t>The completed local Script03 status records continuation v1.0.1 after a specific saved-run compatibility failure. It used an explicit edge-padded 11-point median with the same thresholds. Reference gzip bytes were accepted only after exact decompressed CSV equality. The later handoff metadata repair removed only known macOS sidecar entries from the scientific hash manifest after checking the nine scientific files. These repairs preserve QC decisions; they do not redetect ECG, alter scientific thresholds or delete scientific data.</w:t>
      </w:r>
    </w:p>
    <w:p>
      <w:r>
        <w:t>The runtime package has 213 sealed assets. The current check verified those assets and passed 11 focused tests for rate policy, identity/selection compatibility and nonbridging interpolation. The Mac-specific repair audits remain the provenance for the completed local execution; a new run should not replay recovery helpers automatically.</w:t>
      </w:r>
    </w:p>
    <w:p>
      <w:pPr>
        <w:pStyle w:val="Heading1"/>
      </w:pPr>
      <w:r>
        <w:t>Main files for reviewing QC</w:t>
      </w:r>
    </w:p>
    <w:p>
      <w:pPr>
        <w:pStyle w:val="Heading2"/>
      </w:pPr>
      <w:r>
        <w:t>Overview of paired coverage</w:t>
      </w:r>
    </w:p>
    <w:p>
      <w:pPr>
        <w:spacing w:after="80"/>
      </w:pPr>
      <w:r>
        <w:rPr>
          <w:sz w:val="18"/>
        </w:rPr>
        <w:t>/Volumes/One Touch/KITCO3_drive/outputs/03_ecg_QC_v2_1_0/figures/03_QC_coverage_presentation.pdf</w:t>
      </w:r>
    </w:p>
    <w:p>
      <w:r>
        <w:t>Shows joint trusted IBI minutes versus shared cooking minutes and the cumulative coverage fraction. This is IBI support, not scored-core duration or PLV strength.</w:t>
      </w:r>
    </w:p>
    <w:p>
      <w:pPr>
        <w:pStyle w:val="Heading2"/>
      </w:pPr>
      <w:r>
        <w:t>Every scheduled participant and round</w:t>
      </w:r>
    </w:p>
    <w:p>
      <w:pPr>
        <w:spacing w:after="80"/>
      </w:pPr>
      <w:r>
        <w:rPr>
          <w:sz w:val="18"/>
        </w:rPr>
        <w:t>/Volumes/One Touch/KITCO3_drive/outputs/03_ecg_QC_v2_1_0/dataset/03_participant_phase_QC_216.csv</w:t>
      </w:r>
    </w:p>
    <w:p>
      <w:r>
        <w:t>Use PID, Phase, Analysis_Partner, selection_status, ECG_review_status and trusted_IBI_s. A missing value outside review scope differs from a reviewed zero.</w:t>
      </w:r>
    </w:p>
    <w:p>
      <w:pPr>
        <w:pStyle w:val="Heading2"/>
      </w:pPr>
      <w:r>
        <w:t>Candidate pairs and joint support</w:t>
      </w:r>
    </w:p>
    <w:p>
      <w:pPr>
        <w:spacing w:after="80"/>
      </w:pPr>
      <w:r>
        <w:rPr>
          <w:sz w:val="18"/>
        </w:rPr>
        <w:t>/Volumes/One Touch/KITCO3_drive/outputs/03_ecg_QC_v2_1_0/dataset/03_pair_ECG_QC_71.csv</w:t>
      </w:r>
    </w:p>
    <w:p>
      <w:r>
        <w:t>Use joint_trusted_ibi_s, joint_trusted_ibi_fraction and longest_joint_ibi_span_s. High total coverage can still contain interruptions. final_synchrony_inclusion is a stage-specific placeholder, not a final decision.</w:t>
      </w:r>
    </w:p>
    <w:p>
      <w:pPr>
        <w:pStyle w:val="Heading2"/>
      </w:pPr>
      <w:r>
        <w:t>Detailed waveform decisions and source intervals</w:t>
      </w:r>
    </w:p>
    <w:p>
      <w:pPr>
        <w:spacing w:after="80"/>
      </w:pPr>
      <w:r>
        <w:rPr>
          <w:sz w:val="18"/>
        </w:rPr>
        <w:t>/Volumes/One Touch/KITCO3_drive/outputs/03_ecg_QC_v2_1_0/dataset/03_new_peak_edits.csv</w:t>
      </w:r>
    </w:p>
    <w:p>
      <w:pPr>
        <w:spacing w:after="80"/>
      </w:pPr>
      <w:r>
        <w:rPr>
          <w:sz w:val="18"/>
        </w:rPr>
        <w:t>/Volumes/One Touch/KITCO3_drive/outputs/03_ecg_QC_v2_1_0/dataset/03_sample_anchored_withheld_regions.csv</w:t>
      </w:r>
    </w:p>
    <w:p>
      <w:pPr>
        <w:spacing w:after="80"/>
      </w:pPr>
      <w:r>
        <w:rPr>
          <w:sz w:val="18"/>
        </w:rPr>
        <w:t>/Volumes/One Touch/KITCO3_drive/outputs/03_ecg_QC_v2_1_0/dataset/03_reviewed_nonbridging_ibi.csv.gz</w:t>
      </w:r>
    </w:p>
    <w:p>
      <w:pPr>
        <w:spacing w:after="80"/>
      </w:pPr>
      <w:r>
        <w:rPr>
          <w:sz w:val="18"/>
        </w:rPr>
        <w:t>/Volumes/One Touch/KITCO3_drive/outputs/03_ecg_QC_v2_1_0/dataset/03_recording_ECG_QC_142.csv</w:t>
      </w:r>
    </w:p>
    <w:p>
      <w:r>
        <w:t>Review actions/reasons, source indices and withholding limits here. In the interval export, observed_rr_s preserves measured intervals while invalid ibi_s is missing.</w:t>
      </w:r>
    </w:p>
    <w:p>
      <w:pPr>
        <w:pStyle w:val="Heading2"/>
      </w:pPr>
      <w:r>
        <w:t>Original frozen rationale and evidence</w:t>
      </w:r>
    </w:p>
    <w:p>
      <w:pPr>
        <w:spacing w:after="80"/>
      </w:pPr>
      <w:r>
        <w:rPr>
          <w:sz w:val="18"/>
        </w:rPr>
        <w:t>/Volumes/One Touch/KITCO3_drive/scripts/KITCO3_pipeline_02_03_04_v1.0.0/support/ecg_review/DECISIONS.md</w:t>
      </w:r>
    </w:p>
    <w:p>
      <w:pPr>
        <w:spacing w:after="80"/>
      </w:pPr>
      <w:r>
        <w:rPr>
          <w:sz w:val="18"/>
        </w:rPr>
        <w:t>/Volumes/One Touch/KITCO3_drive/scripts/KITCO3_pipeline_02_03_04_v1.0.0/support/ecg_review/decisions/waveform_decisions.json</w:t>
      </w:r>
    </w:p>
    <w:p>
      <w:pPr>
        <w:spacing w:after="80"/>
      </w:pPr>
      <w:r>
        <w:rPr>
          <w:sz w:val="18"/>
        </w:rPr>
        <w:t>/Volumes/One Touch/KITCO3_drive/scripts/KITCO3_pipeline_02_03_04_v1.0.0/support/ecg_review/decisions/prior_mask_crosswalk_53.csv</w:t>
      </w:r>
    </w:p>
    <w:p>
      <w:pPr>
        <w:keepNext/>
      </w:pPr>
      <w:r>
        <w:t>Regenerated local views, when exported by the supplied command, are in:</w:t>
      </w:r>
    </w:p>
    <w:p>
      <w:pPr>
        <w:spacing w:after="80"/>
      </w:pPr>
      <w:r>
        <w:rPr>
          <w:sz w:val="18"/>
        </w:rPr>
        <w:t>/Volumes/One Touch/KITCO3_drive/outputs/03_ecg_QC_v2_1_0/regenerated_review/</w:t>
      </w:r>
    </w:p>
    <w:p>
      <w:pPr>
        <w:pStyle w:val="Heading2"/>
      </w:pPr>
      <w:r>
        <w:t>Final availability audit across all active pairs</w:t>
      </w:r>
    </w:p>
    <w:p>
      <w:pPr>
        <w:spacing w:after="80"/>
      </w:pPr>
      <w:r>
        <w:rPr>
          <w:sz w:val="18"/>
        </w:rPr>
        <w:t>/Volumes/One Touch/KITCO3_drive/outputs/09_PLV_condition_audit_v1_1_0/09_pair_phase_joined_94.csv</w:t>
      </w:r>
    </w:p>
    <w:p>
      <w:pPr>
        <w:spacing w:after="80"/>
      </w:pPr>
      <w:r>
        <w:rPr>
          <w:sz w:val="18"/>
        </w:rPr>
        <w:t>/Volumes/One Touch/KITCO3_drive/outputs/09_PLV_condition_audit_v1_1_0/09_unscored_active_pair_phases.csv</w:t>
      </w:r>
    </w:p>
    <w:p>
      <w:r>
        <w:t>The audit links actual partners, conditions, PLV scores, availability reasons and primary comparison membership. It is the most useful combined register for explaining which pairs reached each stage.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KITCO3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KITCO3 ECG Quality Control and Inclusion Decisions</dc:title>
  <dc:subject>KITCO3 native pipeline final review October 30 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