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E2F9" w14:textId="6A630D92" w:rsidR="00160286" w:rsidRPr="0049470C" w:rsidRDefault="00E724A6" w:rsidP="0049470C">
      <w:pPr>
        <w:pStyle w:val="Heading1"/>
        <w:spacing w:before="0"/>
        <w:rPr>
          <w:rFonts w:asciiTheme="majorBidi" w:hAnsiTheme="majorBidi"/>
          <w:color w:val="000000" w:themeColor="text1"/>
          <w:sz w:val="24"/>
          <w:szCs w:val="24"/>
        </w:rPr>
      </w:pPr>
      <w:r>
        <w:rPr>
          <w:rFonts w:asciiTheme="majorBidi" w:hAnsiTheme="majorBidi"/>
          <w:color w:val="000000" w:themeColor="text1"/>
          <w:sz w:val="24"/>
          <w:szCs w:val="24"/>
        </w:rPr>
        <w:t xml:space="preserve">Manuscript </w:t>
      </w:r>
      <w:r w:rsidR="00000000" w:rsidRPr="0049470C">
        <w:rPr>
          <w:rFonts w:asciiTheme="majorBidi" w:hAnsiTheme="majorBidi"/>
          <w:color w:val="000000" w:themeColor="text1"/>
          <w:sz w:val="24"/>
          <w:szCs w:val="24"/>
        </w:rPr>
        <w:t xml:space="preserve">Methods </w:t>
      </w:r>
      <w:r>
        <w:rPr>
          <w:rFonts w:asciiTheme="majorBidi" w:hAnsiTheme="majorBidi"/>
          <w:color w:val="000000" w:themeColor="text1"/>
          <w:sz w:val="24"/>
          <w:szCs w:val="24"/>
        </w:rPr>
        <w:t xml:space="preserve">Section </w:t>
      </w:r>
      <w:r w:rsidR="00000000" w:rsidRPr="0049470C">
        <w:rPr>
          <w:rFonts w:asciiTheme="majorBidi" w:hAnsiTheme="majorBidi"/>
          <w:color w:val="000000" w:themeColor="text1"/>
          <w:sz w:val="24"/>
          <w:szCs w:val="24"/>
        </w:rPr>
        <w:t>(First Rough Draft)</w:t>
      </w:r>
      <w:r w:rsidR="0049470C">
        <w:rPr>
          <w:rFonts w:asciiTheme="majorBidi" w:hAnsiTheme="majorBidi"/>
          <w:color w:val="000000" w:themeColor="text1"/>
          <w:sz w:val="24"/>
          <w:szCs w:val="24"/>
        </w:rPr>
        <w:t xml:space="preserve"> – Elnaz Ghasemi</w:t>
      </w:r>
    </w:p>
    <w:p w14:paraId="2EDA2F97" w14:textId="77777777" w:rsidR="0049470C" w:rsidRDefault="0049470C" w:rsidP="0049470C">
      <w:pPr>
        <w:pStyle w:val="Heading2"/>
        <w:spacing w:before="0"/>
        <w:rPr>
          <w:rFonts w:asciiTheme="majorBidi" w:hAnsiTheme="majorBidi"/>
          <w:color w:val="000000" w:themeColor="text1"/>
          <w:sz w:val="24"/>
          <w:szCs w:val="24"/>
        </w:rPr>
      </w:pPr>
    </w:p>
    <w:p w14:paraId="2BD92906" w14:textId="044A3B86" w:rsidR="00160286" w:rsidRPr="0049470C" w:rsidRDefault="00000000" w:rsidP="0049470C">
      <w:pPr>
        <w:pStyle w:val="Heading2"/>
        <w:spacing w:before="0"/>
        <w:rPr>
          <w:rFonts w:asciiTheme="majorBidi" w:hAnsiTheme="majorBidi"/>
          <w:color w:val="000000" w:themeColor="text1"/>
          <w:sz w:val="24"/>
          <w:szCs w:val="24"/>
        </w:rPr>
      </w:pPr>
      <w:r w:rsidRPr="0049470C">
        <w:rPr>
          <w:rFonts w:asciiTheme="majorBidi" w:hAnsiTheme="majorBidi"/>
          <w:color w:val="000000" w:themeColor="text1"/>
          <w:sz w:val="24"/>
          <w:szCs w:val="24"/>
        </w:rPr>
        <w:t>Physiological Data Acquisition</w:t>
      </w:r>
    </w:p>
    <w:p w14:paraId="4507985B" w14:textId="77777777" w:rsidR="00160286" w:rsidRPr="0049470C" w:rsidRDefault="00000000" w:rsidP="0049470C">
      <w:pPr>
        <w:rPr>
          <w:rFonts w:asciiTheme="majorBidi" w:hAnsiTheme="majorBidi" w:cstheme="majorBidi"/>
          <w:color w:val="000000" w:themeColor="text1"/>
          <w:sz w:val="24"/>
          <w:szCs w:val="24"/>
        </w:rPr>
      </w:pPr>
      <w:r w:rsidRPr="0049470C">
        <w:rPr>
          <w:rFonts w:asciiTheme="majorBidi" w:hAnsiTheme="majorBidi" w:cstheme="majorBidi"/>
          <w:color w:val="000000" w:themeColor="text1"/>
          <w:sz w:val="24"/>
          <w:szCs w:val="24"/>
        </w:rPr>
        <w:t>Cardiac activity was recorded continuously from both members of each dyad using wearable electrocardiography (ECG) sensors (Movesense Medical, Suunto, Finland) during completion of the TableTask. Participants completed a structured collaborative task consisting of an initial practice trial followed by multiple experimental trials. ECG recordings from both participants were synchronized using the experimental timestamps recorded during data collection to enable trial-level dyadic analyses.</w:t>
      </w:r>
    </w:p>
    <w:p w14:paraId="4F6CB858" w14:textId="77777777" w:rsidR="00160286" w:rsidRPr="0049470C" w:rsidRDefault="00000000" w:rsidP="0049470C">
      <w:pPr>
        <w:pStyle w:val="Heading2"/>
        <w:spacing w:before="0"/>
        <w:rPr>
          <w:rFonts w:asciiTheme="majorBidi" w:hAnsiTheme="majorBidi"/>
          <w:color w:val="000000" w:themeColor="text1"/>
          <w:sz w:val="24"/>
          <w:szCs w:val="24"/>
        </w:rPr>
      </w:pPr>
      <w:r w:rsidRPr="0049470C">
        <w:rPr>
          <w:rFonts w:asciiTheme="majorBidi" w:hAnsiTheme="majorBidi"/>
          <w:color w:val="000000" w:themeColor="text1"/>
          <w:sz w:val="24"/>
          <w:szCs w:val="24"/>
        </w:rPr>
        <w:t>ECG Preprocessing</w:t>
      </w:r>
    </w:p>
    <w:p w14:paraId="18E8E748" w14:textId="77777777" w:rsidR="00160286" w:rsidRPr="0049470C" w:rsidRDefault="00000000" w:rsidP="0049470C">
      <w:pPr>
        <w:rPr>
          <w:rFonts w:asciiTheme="majorBidi" w:hAnsiTheme="majorBidi" w:cstheme="majorBidi"/>
          <w:color w:val="000000" w:themeColor="text1"/>
          <w:sz w:val="24"/>
          <w:szCs w:val="24"/>
        </w:rPr>
      </w:pPr>
      <w:r w:rsidRPr="0049470C">
        <w:rPr>
          <w:rFonts w:asciiTheme="majorBidi" w:hAnsiTheme="majorBidi" w:cstheme="majorBidi"/>
          <w:color w:val="000000" w:themeColor="text1"/>
          <w:sz w:val="24"/>
          <w:szCs w:val="24"/>
        </w:rPr>
        <w:t>Raw ECG recordings were processed using an analysis pipeline adapted from the publicly available Movesense dyadic analysis workflow and modified for the TableTask dataset. The preprocessing pipeline included automated ECG quality control, R-peak detection, RR interval correction, heart-rate estimation, and trial segmentation.</w:t>
      </w:r>
      <w:r w:rsidRPr="0049470C">
        <w:rPr>
          <w:rFonts w:asciiTheme="majorBidi" w:hAnsiTheme="majorBidi" w:cstheme="majorBidi"/>
          <w:color w:val="000000" w:themeColor="text1"/>
          <w:sz w:val="24"/>
          <w:szCs w:val="24"/>
        </w:rPr>
        <w:br/>
      </w:r>
      <w:r w:rsidRPr="0049470C">
        <w:rPr>
          <w:rFonts w:asciiTheme="majorBidi" w:hAnsiTheme="majorBidi" w:cstheme="majorBidi"/>
          <w:color w:val="000000" w:themeColor="text1"/>
          <w:sz w:val="24"/>
          <w:szCs w:val="24"/>
        </w:rPr>
        <w:br/>
        <w:t>Raw ECG signals first underwent automated quality control to identify invalid signal segments and recording artefacts. R-peaks were detected using NeuroKit2. Detected RR intervals were subsequently corrected to reduce the influence of ectopic beats, missed detections, and spurious peaks before heart-rate estimation.</w:t>
      </w:r>
      <w:r w:rsidRPr="0049470C">
        <w:rPr>
          <w:rFonts w:asciiTheme="majorBidi" w:hAnsiTheme="majorBidi" w:cstheme="majorBidi"/>
          <w:color w:val="000000" w:themeColor="text1"/>
          <w:sz w:val="24"/>
          <w:szCs w:val="24"/>
        </w:rPr>
        <w:br/>
      </w:r>
      <w:r w:rsidRPr="0049470C">
        <w:rPr>
          <w:rFonts w:asciiTheme="majorBidi" w:hAnsiTheme="majorBidi" w:cstheme="majorBidi"/>
          <w:color w:val="000000" w:themeColor="text1"/>
          <w:sz w:val="24"/>
          <w:szCs w:val="24"/>
        </w:rPr>
        <w:br/>
        <w:t>Instantaneous heart rate was calculated from the corrected RR intervals and interpolated onto a uniform 4 Hz sampling grid to generate evenly sampled heart-rate time series suitable for downstream time-series analyses.</w:t>
      </w:r>
      <w:r w:rsidRPr="0049470C">
        <w:rPr>
          <w:rFonts w:asciiTheme="majorBidi" w:hAnsiTheme="majorBidi" w:cstheme="majorBidi"/>
          <w:color w:val="000000" w:themeColor="text1"/>
          <w:sz w:val="24"/>
          <w:szCs w:val="24"/>
        </w:rPr>
        <w:br/>
      </w:r>
      <w:r w:rsidRPr="0049470C">
        <w:rPr>
          <w:rFonts w:asciiTheme="majorBidi" w:hAnsiTheme="majorBidi" w:cstheme="majorBidi"/>
          <w:color w:val="000000" w:themeColor="text1"/>
          <w:sz w:val="24"/>
          <w:szCs w:val="24"/>
        </w:rPr>
        <w:br/>
        <w:t>Diagnostic visualizations, including raw-versus-clean ECG comparisons, detected R-peaks, heart-rate time series, power spectral density estimates, Poincaré plots, and preprocessing quality-control summaries, were automatically generated to facilitate visual inspection of each recording.</w:t>
      </w:r>
    </w:p>
    <w:p w14:paraId="39FD6A6E" w14:textId="77777777" w:rsidR="00160286" w:rsidRPr="0049470C" w:rsidRDefault="00000000" w:rsidP="0049470C">
      <w:pPr>
        <w:pStyle w:val="Heading2"/>
        <w:spacing w:before="0"/>
        <w:rPr>
          <w:rFonts w:asciiTheme="majorBidi" w:hAnsiTheme="majorBidi"/>
          <w:color w:val="000000" w:themeColor="text1"/>
          <w:sz w:val="24"/>
          <w:szCs w:val="24"/>
        </w:rPr>
      </w:pPr>
      <w:r w:rsidRPr="0049470C">
        <w:rPr>
          <w:rFonts w:asciiTheme="majorBidi" w:hAnsiTheme="majorBidi"/>
          <w:color w:val="000000" w:themeColor="text1"/>
          <w:sz w:val="24"/>
          <w:szCs w:val="24"/>
        </w:rPr>
        <w:t>Trial Segmentation</w:t>
      </w:r>
    </w:p>
    <w:p w14:paraId="49E8DD6B" w14:textId="77777777" w:rsidR="00160286" w:rsidRPr="0049470C" w:rsidRDefault="00000000" w:rsidP="0049470C">
      <w:pPr>
        <w:rPr>
          <w:rFonts w:asciiTheme="majorBidi" w:hAnsiTheme="majorBidi" w:cstheme="majorBidi"/>
          <w:color w:val="000000" w:themeColor="text1"/>
          <w:sz w:val="24"/>
          <w:szCs w:val="24"/>
        </w:rPr>
      </w:pPr>
      <w:r w:rsidRPr="0049470C">
        <w:rPr>
          <w:rFonts w:asciiTheme="majorBidi" w:hAnsiTheme="majorBidi" w:cstheme="majorBidi"/>
          <w:color w:val="000000" w:themeColor="text1"/>
          <w:sz w:val="24"/>
          <w:szCs w:val="24"/>
        </w:rPr>
        <w:t>Continuous heart-rate time series were segmented into individual task trials using synchronized behavioural timestamps recorded during the experimental session. Each segmented trial contained temporally aligned heart-rate signals from both members of the dyad. Practice and experimental trials were retained as separate observations. These paired trial-level heart-rate recordings formed the primary input for all subsequent synchrony analyses.</w:t>
      </w:r>
    </w:p>
    <w:p w14:paraId="05833B73" w14:textId="77777777" w:rsidR="00160286" w:rsidRPr="0049470C" w:rsidRDefault="00000000" w:rsidP="0049470C">
      <w:pPr>
        <w:pStyle w:val="Heading2"/>
        <w:spacing w:before="0"/>
        <w:rPr>
          <w:rFonts w:asciiTheme="majorBidi" w:hAnsiTheme="majorBidi"/>
          <w:color w:val="000000" w:themeColor="text1"/>
          <w:sz w:val="24"/>
          <w:szCs w:val="24"/>
        </w:rPr>
      </w:pPr>
      <w:r w:rsidRPr="0049470C">
        <w:rPr>
          <w:rFonts w:asciiTheme="majorBidi" w:hAnsiTheme="majorBidi"/>
          <w:color w:val="000000" w:themeColor="text1"/>
          <w:sz w:val="24"/>
          <w:szCs w:val="24"/>
        </w:rPr>
        <w:t>ECG Quality Assessment</w:t>
      </w:r>
    </w:p>
    <w:p w14:paraId="168C5BA2" w14:textId="77777777" w:rsidR="00160286" w:rsidRPr="0049470C" w:rsidRDefault="00000000" w:rsidP="0049470C">
      <w:pPr>
        <w:rPr>
          <w:rFonts w:asciiTheme="majorBidi" w:hAnsiTheme="majorBidi" w:cstheme="majorBidi"/>
          <w:color w:val="000000" w:themeColor="text1"/>
          <w:sz w:val="24"/>
          <w:szCs w:val="24"/>
        </w:rPr>
      </w:pPr>
      <w:r w:rsidRPr="0049470C">
        <w:rPr>
          <w:rFonts w:asciiTheme="majorBidi" w:hAnsiTheme="majorBidi" w:cstheme="majorBidi"/>
          <w:color w:val="000000" w:themeColor="text1"/>
          <w:sz w:val="24"/>
          <w:szCs w:val="24"/>
        </w:rPr>
        <w:t>Preprocessing quality was evaluated at multiple stages of the pipeline. Automated summaries describing ECG signal quality, R-peak detection, heart-rate interpolation, and trial segmentation were generated for every recording.</w:t>
      </w:r>
      <w:r w:rsidRPr="0049470C">
        <w:rPr>
          <w:rFonts w:asciiTheme="majorBidi" w:hAnsiTheme="majorBidi" w:cstheme="majorBidi"/>
          <w:color w:val="000000" w:themeColor="text1"/>
          <w:sz w:val="24"/>
          <w:szCs w:val="24"/>
        </w:rPr>
        <w:br/>
      </w:r>
      <w:r w:rsidRPr="0049470C">
        <w:rPr>
          <w:rFonts w:asciiTheme="majorBidi" w:hAnsiTheme="majorBidi" w:cstheme="majorBidi"/>
          <w:color w:val="000000" w:themeColor="text1"/>
          <w:sz w:val="24"/>
          <w:szCs w:val="24"/>
        </w:rPr>
        <w:lastRenderedPageBreak/>
        <w:br/>
        <w:t>Odd-even RR interval reliability was also computed for each segmented trial as an objective measure of signal consistency. Reliability estimates were retained alongside the analytical outputs to facilitate subsequent quality assessment but were not automatically used to exclude trials during the synchrony analyses.</w:t>
      </w:r>
    </w:p>
    <w:p w14:paraId="21A419D0" w14:textId="77777777" w:rsidR="00160286" w:rsidRPr="0049470C" w:rsidRDefault="00000000" w:rsidP="0049470C">
      <w:pPr>
        <w:pStyle w:val="Heading2"/>
        <w:spacing w:before="0"/>
        <w:rPr>
          <w:rFonts w:asciiTheme="majorBidi" w:hAnsiTheme="majorBidi"/>
          <w:color w:val="000000" w:themeColor="text1"/>
          <w:sz w:val="24"/>
          <w:szCs w:val="24"/>
        </w:rPr>
      </w:pPr>
      <w:r w:rsidRPr="0049470C">
        <w:rPr>
          <w:rFonts w:asciiTheme="majorBidi" w:hAnsiTheme="majorBidi"/>
          <w:color w:val="000000" w:themeColor="text1"/>
          <w:sz w:val="24"/>
          <w:szCs w:val="24"/>
        </w:rPr>
        <w:t>Windowed Cardiac Synchrony</w:t>
      </w:r>
    </w:p>
    <w:p w14:paraId="2F7F10BD" w14:textId="77777777" w:rsidR="00160286" w:rsidRPr="0049470C" w:rsidRDefault="00000000" w:rsidP="0049470C">
      <w:pPr>
        <w:rPr>
          <w:rFonts w:asciiTheme="majorBidi" w:hAnsiTheme="majorBidi" w:cstheme="majorBidi"/>
          <w:color w:val="000000" w:themeColor="text1"/>
          <w:sz w:val="24"/>
          <w:szCs w:val="24"/>
        </w:rPr>
      </w:pPr>
      <w:r w:rsidRPr="0049470C">
        <w:rPr>
          <w:rFonts w:asciiTheme="majorBidi" w:hAnsiTheme="majorBidi" w:cstheme="majorBidi"/>
          <w:color w:val="000000" w:themeColor="text1"/>
          <w:sz w:val="24"/>
          <w:szCs w:val="24"/>
        </w:rPr>
        <w:t>Dynamic cardiac synchrony between dyad members was quantified using moving-window Pearson correlation analysis. Correlations were calculated across overlapping windows, allowing synchrony to vary throughout each interaction rather than assuming a single constant association across an entire trial.</w:t>
      </w:r>
      <w:r w:rsidRPr="0049470C">
        <w:rPr>
          <w:rFonts w:asciiTheme="majorBidi" w:hAnsiTheme="majorBidi" w:cstheme="majorBidi"/>
          <w:color w:val="000000" w:themeColor="text1"/>
          <w:sz w:val="24"/>
          <w:szCs w:val="24"/>
        </w:rPr>
        <w:br/>
      </w:r>
      <w:r w:rsidRPr="0049470C">
        <w:rPr>
          <w:rFonts w:asciiTheme="majorBidi" w:hAnsiTheme="majorBidi" w:cstheme="majorBidi"/>
          <w:color w:val="000000" w:themeColor="text1"/>
          <w:sz w:val="24"/>
          <w:szCs w:val="24"/>
        </w:rPr>
        <w:br/>
        <w:t>For each window, both zero-lag and lagged correlations were estimated across multiple temporal offsets. Lag direction was reported using both the original Lena pipeline convention and the equivalent SciPy cross-correlation convention to facilitate comparison with previous analyses. Window-level correlation estimates were summarized for each trial and visualized as time-varying synchrony trajectories.</w:t>
      </w:r>
    </w:p>
    <w:p w14:paraId="38B1E3C6" w14:textId="77777777" w:rsidR="00160286" w:rsidRPr="0049470C" w:rsidRDefault="00000000" w:rsidP="0049470C">
      <w:pPr>
        <w:pStyle w:val="Heading2"/>
        <w:spacing w:before="0"/>
        <w:rPr>
          <w:rFonts w:asciiTheme="majorBidi" w:hAnsiTheme="majorBidi"/>
          <w:color w:val="000000" w:themeColor="text1"/>
          <w:sz w:val="24"/>
          <w:szCs w:val="24"/>
        </w:rPr>
      </w:pPr>
      <w:r w:rsidRPr="0049470C">
        <w:rPr>
          <w:rFonts w:asciiTheme="majorBidi" w:hAnsiTheme="majorBidi"/>
          <w:color w:val="000000" w:themeColor="text1"/>
          <w:sz w:val="24"/>
          <w:szCs w:val="24"/>
        </w:rPr>
        <w:t>Windowed Poincaré Analysis</w:t>
      </w:r>
    </w:p>
    <w:p w14:paraId="1B7BF6DA" w14:textId="77777777" w:rsidR="00160286" w:rsidRPr="0049470C" w:rsidRDefault="00000000" w:rsidP="0049470C">
      <w:pPr>
        <w:rPr>
          <w:rFonts w:asciiTheme="majorBidi" w:hAnsiTheme="majorBidi" w:cstheme="majorBidi"/>
          <w:color w:val="000000" w:themeColor="text1"/>
          <w:sz w:val="24"/>
          <w:szCs w:val="24"/>
        </w:rPr>
      </w:pPr>
      <w:r w:rsidRPr="0049470C">
        <w:rPr>
          <w:rFonts w:asciiTheme="majorBidi" w:hAnsiTheme="majorBidi" w:cstheme="majorBidi"/>
          <w:color w:val="000000" w:themeColor="text1"/>
          <w:sz w:val="24"/>
          <w:szCs w:val="24"/>
        </w:rPr>
        <w:t>Windowed Poincaré analyses were performed to characterize temporal changes in dyadic heart-rate variability. Successive overlapping windows generated evolving Poincaré representations that illustrated short-term and longer-term variability throughout the interaction. Both window-specific plots and summary visualizations were generated for exploratory assessment of cardiac dynamics.</w:t>
      </w:r>
    </w:p>
    <w:p w14:paraId="7DB9CD74" w14:textId="77777777" w:rsidR="00160286" w:rsidRPr="0049470C" w:rsidRDefault="00000000" w:rsidP="0049470C">
      <w:pPr>
        <w:pStyle w:val="Heading2"/>
        <w:spacing w:before="0"/>
        <w:rPr>
          <w:rFonts w:asciiTheme="majorBidi" w:hAnsiTheme="majorBidi"/>
          <w:color w:val="000000" w:themeColor="text1"/>
          <w:sz w:val="24"/>
          <w:szCs w:val="24"/>
        </w:rPr>
      </w:pPr>
      <w:r w:rsidRPr="0049470C">
        <w:rPr>
          <w:rFonts w:asciiTheme="majorBidi" w:hAnsiTheme="majorBidi"/>
          <w:color w:val="000000" w:themeColor="text1"/>
          <w:sz w:val="24"/>
          <w:szCs w:val="24"/>
        </w:rPr>
        <w:t>Network Symbolic Transfer Entropy</w:t>
      </w:r>
    </w:p>
    <w:p w14:paraId="5C0BC730" w14:textId="77777777" w:rsidR="00160286" w:rsidRPr="0049470C" w:rsidRDefault="00000000" w:rsidP="0049470C">
      <w:pPr>
        <w:rPr>
          <w:rFonts w:asciiTheme="majorBidi" w:hAnsiTheme="majorBidi" w:cstheme="majorBidi"/>
          <w:color w:val="000000" w:themeColor="text1"/>
          <w:sz w:val="24"/>
          <w:szCs w:val="24"/>
        </w:rPr>
      </w:pPr>
      <w:r w:rsidRPr="0049470C">
        <w:rPr>
          <w:rFonts w:asciiTheme="majorBidi" w:hAnsiTheme="majorBidi" w:cstheme="majorBidi"/>
          <w:color w:val="000000" w:themeColor="text1"/>
          <w:sz w:val="24"/>
          <w:szCs w:val="24"/>
        </w:rPr>
        <w:t>Directional interactions between paired heart-rate time series were quantified using Network Symbolic Transfer Entropy (NSTE). NSTE estimates the extent to which the past state of one participant's heart-rate dynamics improves prediction of the future state of the other participant beyond the predictive information contained within that participant's own past, thereby providing a measure of directed information transfer.</w:t>
      </w:r>
      <w:r w:rsidRPr="0049470C">
        <w:rPr>
          <w:rFonts w:asciiTheme="majorBidi" w:hAnsiTheme="majorBidi" w:cstheme="majorBidi"/>
          <w:color w:val="000000" w:themeColor="text1"/>
          <w:sz w:val="24"/>
          <w:szCs w:val="24"/>
        </w:rPr>
        <w:br/>
      </w:r>
      <w:r w:rsidRPr="0049470C">
        <w:rPr>
          <w:rFonts w:asciiTheme="majorBidi" w:hAnsiTheme="majorBidi" w:cstheme="majorBidi"/>
          <w:color w:val="000000" w:themeColor="text1"/>
          <w:sz w:val="24"/>
          <w:szCs w:val="24"/>
        </w:rPr>
        <w:br/>
        <w:t>The NSTE implementation was adapted from an existing laboratory pipeline originally developed for dyadic physiological analyses. The symbolic representation, transfer entropy estimation procedure, and surrogate-testing framework were intentionally preserved. Modifications were limited to integration with the TableTask preprocessing pipeline, automated discovery of paired trial files, standardized metadata integration, reproducible output generation, and compatibility with the project directory structure.</w:t>
      </w:r>
      <w:r w:rsidRPr="0049470C">
        <w:rPr>
          <w:rFonts w:asciiTheme="majorBidi" w:hAnsiTheme="majorBidi" w:cstheme="majorBidi"/>
          <w:color w:val="000000" w:themeColor="text1"/>
          <w:sz w:val="24"/>
          <w:szCs w:val="24"/>
        </w:rPr>
        <w:br/>
      </w:r>
      <w:r w:rsidRPr="0049470C">
        <w:rPr>
          <w:rFonts w:asciiTheme="majorBidi" w:hAnsiTheme="majorBidi" w:cstheme="majorBidi"/>
          <w:color w:val="000000" w:themeColor="text1"/>
          <w:sz w:val="24"/>
          <w:szCs w:val="24"/>
        </w:rPr>
        <w:br/>
        <w:t xml:space="preserve">For each trial, directional transfer entropy was estimated in both directions between dyad members across a range of candidate delay parameters. Calculations were repeated within overlapping temporal windows to capture temporal variation in directional information </w:t>
      </w:r>
      <w:r w:rsidRPr="0049470C">
        <w:rPr>
          <w:rFonts w:asciiTheme="majorBidi" w:hAnsiTheme="majorBidi" w:cstheme="majorBidi"/>
          <w:color w:val="000000" w:themeColor="text1"/>
          <w:sz w:val="24"/>
          <w:szCs w:val="24"/>
        </w:rPr>
        <w:lastRenderedPageBreak/>
        <w:t>transfer. Conventional symbolic transfer entropy (STE) was computed concurrently to facilitate comparison with the network-based estimates.</w:t>
      </w:r>
      <w:r w:rsidRPr="0049470C">
        <w:rPr>
          <w:rFonts w:asciiTheme="majorBidi" w:hAnsiTheme="majorBidi" w:cstheme="majorBidi"/>
          <w:color w:val="000000" w:themeColor="text1"/>
          <w:sz w:val="24"/>
          <w:szCs w:val="24"/>
        </w:rPr>
        <w:br/>
      </w:r>
      <w:r w:rsidRPr="0049470C">
        <w:rPr>
          <w:rFonts w:asciiTheme="majorBidi" w:hAnsiTheme="majorBidi" w:cstheme="majorBidi"/>
          <w:color w:val="000000" w:themeColor="text1"/>
          <w:sz w:val="24"/>
          <w:szCs w:val="24"/>
        </w:rPr>
        <w:br/>
        <w:t>Statistical significance was evaluated using surrogate distributions generated through repeated permutation procedures following the methodology implemented in the original laboratory analysis pipeline. Trial-level and window-level NSTE estimates, together with associated metadata and quality-control measures, were exported for downstream statistical analyses.</w:t>
      </w:r>
    </w:p>
    <w:p w14:paraId="4AE55394" w14:textId="77777777" w:rsidR="00160286" w:rsidRPr="0049470C" w:rsidRDefault="00000000" w:rsidP="0049470C">
      <w:pPr>
        <w:pStyle w:val="Heading2"/>
        <w:spacing w:before="0"/>
        <w:rPr>
          <w:rFonts w:asciiTheme="majorBidi" w:hAnsiTheme="majorBidi"/>
          <w:color w:val="000000" w:themeColor="text1"/>
          <w:sz w:val="24"/>
          <w:szCs w:val="24"/>
        </w:rPr>
      </w:pPr>
      <w:r w:rsidRPr="0049470C">
        <w:rPr>
          <w:rFonts w:asciiTheme="majorBidi" w:hAnsiTheme="majorBidi"/>
          <w:color w:val="000000" w:themeColor="text1"/>
          <w:sz w:val="24"/>
          <w:szCs w:val="24"/>
        </w:rPr>
        <w:t>Data Management and Reproducibility</w:t>
      </w:r>
    </w:p>
    <w:p w14:paraId="5AC4381F" w14:textId="77777777" w:rsidR="00160286" w:rsidRPr="0049470C" w:rsidRDefault="00000000" w:rsidP="0049470C">
      <w:pPr>
        <w:rPr>
          <w:rFonts w:asciiTheme="majorBidi" w:hAnsiTheme="majorBidi" w:cstheme="majorBidi"/>
          <w:color w:val="000000" w:themeColor="text1"/>
          <w:sz w:val="24"/>
          <w:szCs w:val="24"/>
        </w:rPr>
      </w:pPr>
      <w:r w:rsidRPr="0049470C">
        <w:rPr>
          <w:rFonts w:asciiTheme="majorBidi" w:hAnsiTheme="majorBidi" w:cstheme="majorBidi"/>
          <w:color w:val="000000" w:themeColor="text1"/>
          <w:sz w:val="24"/>
          <w:szCs w:val="24"/>
        </w:rPr>
        <w:t>The complete preprocessing and synchrony analysis pipeline was implemented in Python using an automated and reproducible workflow. Standardized directory structures, consistent file naming conventions, processing summaries, quality-control reports, and execution logs were generated throughout the pipeline to facilitate reproducibility and future maintenance.</w:t>
      </w:r>
      <w:r w:rsidRPr="0049470C">
        <w:rPr>
          <w:rFonts w:asciiTheme="majorBidi" w:hAnsiTheme="majorBidi" w:cstheme="majorBidi"/>
          <w:color w:val="000000" w:themeColor="text1"/>
          <w:sz w:val="24"/>
          <w:szCs w:val="24"/>
        </w:rPr>
        <w:br/>
      </w:r>
      <w:r w:rsidRPr="0049470C">
        <w:rPr>
          <w:rFonts w:asciiTheme="majorBidi" w:hAnsiTheme="majorBidi" w:cstheme="majorBidi"/>
          <w:color w:val="000000" w:themeColor="text1"/>
          <w:sz w:val="24"/>
          <w:szCs w:val="24"/>
        </w:rPr>
        <w:br/>
        <w:t>All preprocessing outputs, synchrony measures, and metadata were exported as comma-separated value (CSV) files for downstream statistical analyses.</w:t>
      </w:r>
    </w:p>
    <w:p w14:paraId="34A9D18F" w14:textId="77777777" w:rsidR="00160286" w:rsidRPr="0049470C" w:rsidRDefault="00000000" w:rsidP="0049470C">
      <w:pPr>
        <w:pStyle w:val="Heading2"/>
        <w:spacing w:before="0"/>
        <w:rPr>
          <w:rFonts w:asciiTheme="majorBidi" w:hAnsiTheme="majorBidi"/>
          <w:color w:val="000000" w:themeColor="text1"/>
          <w:sz w:val="24"/>
          <w:szCs w:val="24"/>
        </w:rPr>
      </w:pPr>
      <w:r w:rsidRPr="0049470C">
        <w:rPr>
          <w:rFonts w:asciiTheme="majorBidi" w:hAnsiTheme="majorBidi"/>
          <w:color w:val="000000" w:themeColor="text1"/>
          <w:sz w:val="24"/>
          <w:szCs w:val="24"/>
        </w:rPr>
        <w:t>Draft Notes</w:t>
      </w:r>
    </w:p>
    <w:p w14:paraId="71D91BAF" w14:textId="608F85D9" w:rsidR="00160286" w:rsidRPr="0049470C" w:rsidRDefault="00000000" w:rsidP="0049470C">
      <w:pPr>
        <w:rPr>
          <w:rFonts w:asciiTheme="majorBidi" w:hAnsiTheme="majorBidi" w:cstheme="majorBidi"/>
          <w:color w:val="000000" w:themeColor="text1"/>
          <w:sz w:val="24"/>
          <w:szCs w:val="24"/>
        </w:rPr>
      </w:pPr>
      <w:r w:rsidRPr="0049470C">
        <w:rPr>
          <w:rFonts w:asciiTheme="majorBidi" w:hAnsiTheme="majorBidi" w:cstheme="majorBidi"/>
          <w:color w:val="000000" w:themeColor="text1"/>
          <w:sz w:val="24"/>
          <w:szCs w:val="24"/>
        </w:rPr>
        <w:t xml:space="preserve">This document represents a first manuscript draft. Study-specific analytical decisions, including the final statistical models, exact NSTE parameter reporting, surrogate methodology description, and methodological citations, should be </w:t>
      </w:r>
      <w:r w:rsidR="005679E0">
        <w:rPr>
          <w:rFonts w:asciiTheme="majorBidi" w:hAnsiTheme="majorBidi" w:cstheme="majorBidi"/>
          <w:color w:val="000000" w:themeColor="text1"/>
          <w:sz w:val="24"/>
          <w:szCs w:val="24"/>
        </w:rPr>
        <w:t>modified further and confirmed with Veronica</w:t>
      </w:r>
      <w:r w:rsidRPr="0049470C">
        <w:rPr>
          <w:rFonts w:asciiTheme="majorBidi" w:hAnsiTheme="majorBidi" w:cstheme="majorBidi"/>
          <w:color w:val="000000" w:themeColor="text1"/>
          <w:sz w:val="24"/>
          <w:szCs w:val="24"/>
        </w:rPr>
        <w:t xml:space="preserve"> </w:t>
      </w:r>
      <w:r w:rsidR="005679E0">
        <w:rPr>
          <w:rFonts w:asciiTheme="majorBidi" w:hAnsiTheme="majorBidi" w:cstheme="majorBidi"/>
          <w:color w:val="000000" w:themeColor="text1"/>
          <w:sz w:val="24"/>
          <w:szCs w:val="24"/>
        </w:rPr>
        <w:t xml:space="preserve">before </w:t>
      </w:r>
      <w:r w:rsidRPr="0049470C">
        <w:rPr>
          <w:rFonts w:asciiTheme="majorBidi" w:hAnsiTheme="majorBidi" w:cstheme="majorBidi"/>
          <w:color w:val="000000" w:themeColor="text1"/>
          <w:sz w:val="24"/>
          <w:szCs w:val="24"/>
        </w:rPr>
        <w:t>manuscript submission.</w:t>
      </w:r>
    </w:p>
    <w:sectPr w:rsidR="00160286" w:rsidRPr="0049470C" w:rsidSect="00034616">
      <w:headerReference w:type="even" r:id="rId8"/>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DF3CF" w14:textId="77777777" w:rsidR="00942328" w:rsidRDefault="00942328" w:rsidP="0049470C">
      <w:pPr>
        <w:spacing w:after="0" w:line="240" w:lineRule="auto"/>
      </w:pPr>
      <w:r>
        <w:separator/>
      </w:r>
    </w:p>
  </w:endnote>
  <w:endnote w:type="continuationSeparator" w:id="0">
    <w:p w14:paraId="1E860554" w14:textId="77777777" w:rsidR="00942328" w:rsidRDefault="00942328" w:rsidP="00494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FB41C" w14:textId="77777777" w:rsidR="00942328" w:rsidRDefault="00942328" w:rsidP="0049470C">
      <w:pPr>
        <w:spacing w:after="0" w:line="240" w:lineRule="auto"/>
      </w:pPr>
      <w:r>
        <w:separator/>
      </w:r>
    </w:p>
  </w:footnote>
  <w:footnote w:type="continuationSeparator" w:id="0">
    <w:p w14:paraId="519E2BC4" w14:textId="77777777" w:rsidR="00942328" w:rsidRDefault="00942328" w:rsidP="00494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3963706"/>
      <w:docPartObj>
        <w:docPartGallery w:val="Page Numbers (Top of Page)"/>
        <w:docPartUnique/>
      </w:docPartObj>
    </w:sdtPr>
    <w:sdtContent>
      <w:p w14:paraId="18F43870" w14:textId="023DA173" w:rsidR="0049470C" w:rsidRDefault="0049470C" w:rsidP="00696B0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E2917E" w14:textId="77777777" w:rsidR="0049470C" w:rsidRDefault="0049470C" w:rsidP="0049470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6119339"/>
      <w:docPartObj>
        <w:docPartGallery w:val="Page Numbers (Top of Page)"/>
        <w:docPartUnique/>
      </w:docPartObj>
    </w:sdtPr>
    <w:sdtContent>
      <w:p w14:paraId="09188AFB" w14:textId="2F37D1EA" w:rsidR="0049470C" w:rsidRDefault="0049470C" w:rsidP="00696B0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2E44F8" w14:textId="77777777" w:rsidR="0049470C" w:rsidRDefault="0049470C" w:rsidP="0049470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3319207">
    <w:abstractNumId w:val="8"/>
  </w:num>
  <w:num w:numId="2" w16cid:durableId="1715079832">
    <w:abstractNumId w:val="6"/>
  </w:num>
  <w:num w:numId="3" w16cid:durableId="1073700074">
    <w:abstractNumId w:val="5"/>
  </w:num>
  <w:num w:numId="4" w16cid:durableId="1000936452">
    <w:abstractNumId w:val="4"/>
  </w:num>
  <w:num w:numId="5" w16cid:durableId="1852603172">
    <w:abstractNumId w:val="7"/>
  </w:num>
  <w:num w:numId="6" w16cid:durableId="955407430">
    <w:abstractNumId w:val="3"/>
  </w:num>
  <w:num w:numId="7" w16cid:durableId="1888295968">
    <w:abstractNumId w:val="2"/>
  </w:num>
  <w:num w:numId="8" w16cid:durableId="1728530095">
    <w:abstractNumId w:val="1"/>
  </w:num>
  <w:num w:numId="9" w16cid:durableId="1739865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286"/>
    <w:rsid w:val="0029639D"/>
    <w:rsid w:val="00326F90"/>
    <w:rsid w:val="0049470C"/>
    <w:rsid w:val="004B68A3"/>
    <w:rsid w:val="005679E0"/>
    <w:rsid w:val="00942328"/>
    <w:rsid w:val="00AA1D8D"/>
    <w:rsid w:val="00B47730"/>
    <w:rsid w:val="00CB0664"/>
    <w:rsid w:val="00E724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242E4"/>
  <w14:defaultImageDpi w14:val="300"/>
  <w15:docId w15:val="{7C744C38-C540-1047-9AB1-42BCEDEE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4947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Elnaz Ghasemi</cp:lastModifiedBy>
  <cp:revision>4</cp:revision>
  <dcterms:created xsi:type="dcterms:W3CDTF">2013-12-23T23:15:00Z</dcterms:created>
  <dcterms:modified xsi:type="dcterms:W3CDTF">2026-07-16T18:53:00Z</dcterms:modified>
  <cp:category/>
</cp:coreProperties>
</file>