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CH1666545134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CH1666545134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24 ตุลาคม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2/2565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> และบันทึกการเปลี่ยนเวรวันที่ 23 ตุลาคม 2565 [CH1666530322]</w:t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5 พฤศจิกายน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นายผู้พิพากษา3 j3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นายผู้พิพากษา3 j3 ในวันที่ 1 พฤศจิกายน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นายผู้พิพากษา3 j3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