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98/2565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7 พฤศจิกายน 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1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ธันวาคม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ธันวาคม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นายณัฐวุฒิ ทุติยาภรณ์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นายศิรสิทธิ์ ศรีเสาวนันท์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นักจิตวิทยาปฏิบัติการ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นายณัฐวุฒิ ทุติยาภรณ์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นายศิรสิทธิ์ ศรีเสาวนันท์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