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2/2565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20 ตุลาคม 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3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4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ธันวาคม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นายผู้พิพากษา3 j3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นายu6 u6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พนักงานขับรถยนต์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นายผู้พิพากษา3 j3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นายu6 u6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