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88/2565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10 ตุลาคม 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12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พฤศจิกายน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13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พฤศจิกายน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2565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นางนุจรีย์ สุขจินดา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เจ้าหน้าที่ศาลยุติธรรมชำนาญงาน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นางนุจรีย์ สุขจินดา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