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111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30 สิงหาคม 2567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31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สิงหาคม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2567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1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กันยายน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2567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/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/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นายuser2 user2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นิติกรปฏิบัติการ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/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นายuser2 user2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