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99831D">
      <w:pPr>
        <w:spacing w:line="240" w:lineRule="auto"/>
        <w:outlineLvl w:val="1"/>
        <w:rPr>
          <w:rFonts w:hint="eastAsia" w:ascii="微软雅黑" w:hAnsi="微软雅黑" w:eastAsia="微软雅黑" w:cs="微软雅黑"/>
          <w:b/>
          <w:bCs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</w:rPr>
        <w:t>基于流程的战略解码</w:t>
      </w:r>
    </w:p>
    <w:p w14:paraId="3A48E5C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一、BLM与流程的关系</w:t>
      </w:r>
    </w:p>
    <w:p w14:paraId="4D4FFF2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BLM方法论逻辑简介</w:t>
      </w:r>
    </w:p>
    <w:p w14:paraId="22209BF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  <w:t>公司战略、业务战略、职能战略之间的关系</w:t>
      </w:r>
    </w:p>
    <w:p w14:paraId="1123CD2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变革战略是业务战略落地重要支撑</w:t>
      </w:r>
    </w:p>
    <w:p w14:paraId="2B202A5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流程是战略落地的重要载体</w:t>
      </w:r>
    </w:p>
    <w:p w14:paraId="50A979E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  <w:t>流程承载战略的几种方式</w:t>
      </w:r>
    </w:p>
    <w:p w14:paraId="3540C1C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  <w:t>产品</w:t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战略对管理体系模式的影响</w:t>
      </w:r>
    </w:p>
    <w:p w14:paraId="350DD2A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二、基于流程的战略目标解码</w:t>
      </w:r>
    </w:p>
    <w:p w14:paraId="5E0BF67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1、战略KPI目标制定</w:t>
      </w:r>
    </w:p>
    <w:p w14:paraId="0362DC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100"/>
        <w:textAlignment w:val="auto"/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1.1战略KPI制定流程</w:t>
      </w:r>
    </w:p>
    <w:p w14:paraId="54C339C9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 w:hanging="420" w:firstLineChars="0"/>
        <w:textAlignment w:val="auto"/>
        <w:rPr>
          <w:rFonts w:hint="eastAsia" w:ascii="仿宋" w:hAnsi="仿宋" w:eastAsia="仿宋" w:cs="仿宋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战略KPI目标制定方法：</w:t>
      </w:r>
      <w:r>
        <w:rPr>
          <w:rFonts w:hint="eastAsia" w:ascii="仿宋" w:hAnsi="仿宋" w:eastAsia="仿宋" w:cs="仿宋"/>
          <w:b w:val="0"/>
          <w:bCs w:val="0"/>
          <w:lang w:val="en-US" w:eastAsia="zh-CN"/>
        </w:rPr>
        <w:t>从战略举措到战略KPI、基于战略导向确定公司KPI、战略KPI如何筛选、企业战略KPI案例</w:t>
      </w:r>
    </w:p>
    <w:p w14:paraId="2885E28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2、战略KPI解码</w:t>
      </w:r>
    </w:p>
    <w:p w14:paraId="299CD6C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100"/>
        <w:textAlignment w:val="auto"/>
        <w:rPr>
          <w:rFonts w:hint="eastAsia" w:ascii="仿宋" w:hAnsi="仿宋" w:eastAsia="仿宋" w:cs="仿宋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2.1从战略到组织绩效及个人PBC的解码逻辑：</w:t>
      </w:r>
      <w:r>
        <w:rPr>
          <w:rFonts w:hint="eastAsia" w:ascii="仿宋" w:hAnsi="仿宋" w:eastAsia="仿宋" w:cs="仿宋"/>
          <w:b w:val="0"/>
          <w:bCs w:val="0"/>
          <w:lang w:val="en-US" w:eastAsia="zh-CN"/>
        </w:rPr>
        <w:t>公司/流程/部门/岗位绩效间的关系、组织绩效指标编制方法、岗位绩效方案编制方法、战略KPI解码的痛点</w:t>
      </w:r>
    </w:p>
    <w:p w14:paraId="6AC0E02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100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2.2基于流程进行战略KPI解码整体逻辑</w:t>
      </w:r>
    </w:p>
    <w:p w14:paraId="7239BA2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100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2.3识别战略KPI关键成功因素</w:t>
      </w:r>
    </w:p>
    <w:p w14:paraId="2DF7B4A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100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2.4基于战略KPI制定L1流程KPI</w:t>
      </w:r>
    </w:p>
    <w:p w14:paraId="4CDA7F1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100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2.5确定每一个L1流程KPI承接L1组织</w:t>
      </w:r>
    </w:p>
    <w:p w14:paraId="08A43236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 w:hanging="420" w:firstLineChars="0"/>
        <w:textAlignment w:val="auto"/>
        <w:rPr>
          <w:rFonts w:hint="eastAsia" w:ascii="仿宋" w:hAnsi="仿宋" w:eastAsia="仿宋" w:cs="仿宋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L1流程KPI向下分解：</w:t>
      </w:r>
      <w:r>
        <w:rPr>
          <w:rFonts w:hint="eastAsia" w:ascii="仿宋" w:hAnsi="仿宋" w:eastAsia="仿宋" w:cs="仿宋"/>
          <w:b w:val="0"/>
          <w:bCs w:val="0"/>
          <w:lang w:val="en-US" w:eastAsia="zh-CN"/>
        </w:rPr>
        <w:t>关键成功因素建模方法与案例、基于流程架构分解方法与案例</w:t>
      </w:r>
    </w:p>
    <w:p w14:paraId="509C90D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100"/>
        <w:textAlignment w:val="auto"/>
        <w:rPr>
          <w:rFonts w:hint="eastAsia" w:ascii="仿宋" w:hAnsi="仿宋" w:eastAsia="仿宋" w:cs="仿宋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2.6流程绩效目标设定：</w:t>
      </w:r>
      <w:r>
        <w:rPr>
          <w:rFonts w:hint="eastAsia" w:ascii="仿宋" w:hAnsi="仿宋" w:eastAsia="仿宋" w:cs="仿宋"/>
          <w:b w:val="0"/>
          <w:bCs w:val="0"/>
          <w:lang w:val="en-US" w:eastAsia="zh-CN"/>
        </w:rPr>
        <w:t>长、中、短</w:t>
      </w:r>
    </w:p>
    <w:p w14:paraId="683D23C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小组演练</w:t>
      </w:r>
    </w:p>
    <w:p w14:paraId="739907B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/>
        <w:textAlignment w:val="auto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三、基于流程的关键任务解码</w:t>
      </w:r>
    </w:p>
    <w:p w14:paraId="356BE25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1、明确关键任务的目的：</w:t>
      </w:r>
      <w:r>
        <w:rPr>
          <w:rFonts w:hint="eastAsia" w:ascii="仿宋" w:hAnsi="仿宋" w:eastAsia="仿宋" w:cs="仿宋"/>
          <w:b w:val="0"/>
          <w:bCs w:val="0"/>
          <w:lang w:val="en-US" w:eastAsia="zh-CN"/>
        </w:rPr>
        <w:t>操作模板、目的如何描述、目的设定原则、目的描述案例</w:t>
      </w:r>
    </w:p>
    <w:p w14:paraId="1295DC7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2、制定关键任务达成策略</w:t>
      </w:r>
    </w:p>
    <w:p w14:paraId="5790D1E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10" w:leftChars="100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 xml:space="preserve">2.1确定关键业务场景 </w:t>
      </w:r>
    </w:p>
    <w:p w14:paraId="2DCA961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10" w:leftChars="100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2.2识别关键L1流程及关键节点</w:t>
      </w:r>
    </w:p>
    <w:p w14:paraId="2BBCB8A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10" w:leftChars="100"/>
        <w:textAlignment w:val="auto"/>
        <w:rPr>
          <w:rFonts w:hint="eastAsia" w:ascii="仿宋" w:hAnsi="仿宋" w:eastAsia="仿宋" w:cs="仿宋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2.3制定业务策略：</w:t>
      </w:r>
      <w:r>
        <w:rPr>
          <w:rFonts w:hint="eastAsia" w:ascii="仿宋" w:hAnsi="仿宋" w:eastAsia="仿宋" w:cs="仿宋"/>
          <w:b w:val="0"/>
          <w:bCs w:val="0"/>
          <w:lang w:val="en-US" w:eastAsia="zh-CN"/>
        </w:rPr>
        <w:t>操作方法、案例分析</w:t>
      </w:r>
    </w:p>
    <w:p w14:paraId="36C6E8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10" w:leftChars="100"/>
        <w:textAlignment w:val="auto"/>
        <w:rPr>
          <w:rFonts w:hint="eastAsia" w:ascii="仿宋" w:hAnsi="仿宋" w:eastAsia="仿宋" w:cs="仿宋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2.4识别关键L1流程及节点的绩效差距：</w:t>
      </w:r>
      <w:r>
        <w:rPr>
          <w:rFonts w:hint="eastAsia" w:ascii="仿宋" w:hAnsi="仿宋" w:eastAsia="仿宋" w:cs="仿宋"/>
          <w:b w:val="0"/>
          <w:bCs w:val="0"/>
          <w:lang w:val="en-US" w:eastAsia="zh-CN"/>
        </w:rPr>
        <w:t>操作方法、案例分析</w:t>
      </w:r>
    </w:p>
    <w:p w14:paraId="35ACEEA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10" w:leftChars="100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2.5识别管理关键要素主要根因</w:t>
      </w:r>
    </w:p>
    <w:p w14:paraId="5365AE3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10" w:leftChars="100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2.6制定对应管理策略</w:t>
      </w:r>
    </w:p>
    <w:p w14:paraId="0E29C3A9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 w:hanging="42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五类驱动模式说明：</w:t>
      </w:r>
      <w:r>
        <w:rPr>
          <w:rFonts w:hint="eastAsia" w:ascii="仿宋" w:hAnsi="仿宋" w:eastAsia="仿宋" w:cs="仿宋"/>
          <w:b w:val="0"/>
          <w:bCs w:val="0"/>
          <w:lang w:val="en-US" w:eastAsia="zh-CN"/>
        </w:rPr>
        <w:t>资源、机制、人才、流程、IT</w:t>
      </w:r>
    </w:p>
    <w:p w14:paraId="70E8C04C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 w:hanging="420" w:firstLineChars="0"/>
        <w:textAlignment w:val="auto"/>
        <w:rPr>
          <w:rFonts w:hint="eastAsia" w:ascii="仿宋" w:hAnsi="仿宋" w:eastAsia="仿宋" w:cs="仿宋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制定关键任务度目标：</w:t>
      </w:r>
      <w:r>
        <w:rPr>
          <w:rFonts w:hint="eastAsia" w:ascii="仿宋" w:hAnsi="仿宋" w:eastAsia="仿宋" w:cs="仿宋"/>
          <w:b w:val="0"/>
          <w:bCs w:val="0"/>
          <w:lang w:val="en-US" w:eastAsia="zh-CN"/>
        </w:rPr>
        <w:t>操作方法、案例分析</w:t>
      </w:r>
    </w:p>
    <w:p w14:paraId="5D43340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3、将第1年目标进行解码至行动计划</w:t>
      </w:r>
    </w:p>
    <w:p w14:paraId="670669B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小组演练</w:t>
      </w:r>
    </w:p>
    <w:p w14:paraId="27FF30E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四、基于流程的组织战略解码</w:t>
      </w:r>
    </w:p>
    <w:p w14:paraId="7A4A17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1、</w:t>
      </w:r>
      <w:r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  <w:t>基于战略调整组织，强化战略支撑力</w:t>
      </w:r>
    </w:p>
    <w:p w14:paraId="1C02B74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/>
        <w:textAlignment w:val="auto"/>
        <w:rPr>
          <w:rFonts w:hint="eastAsia" w:ascii="仿宋" w:hAnsi="仿宋" w:eastAsia="仿宋" w:cs="仿宋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1.1组织模式调整的三种思路：</w:t>
      </w:r>
      <w:r>
        <w:rPr>
          <w:rFonts w:hint="eastAsia" w:ascii="仿宋" w:hAnsi="仿宋" w:eastAsia="仿宋" w:cs="仿宋"/>
          <w:b w:val="0"/>
          <w:bCs w:val="0"/>
          <w:lang w:val="en-US" w:eastAsia="zh-CN"/>
        </w:rPr>
        <w:t>组织模式优化【宏观】、组织模式优化【微观】、管控模式优化</w:t>
      </w:r>
    </w:p>
    <w:p w14:paraId="35247E2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/>
        <w:textAlignment w:val="auto"/>
        <w:rPr>
          <w:rFonts w:hint="eastAsia" w:ascii="仿宋" w:hAnsi="仿宋" w:eastAsia="仿宋" w:cs="仿宋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1.2激励模式优化：</w:t>
      </w:r>
      <w:r>
        <w:rPr>
          <w:rFonts w:hint="eastAsia" w:ascii="仿宋" w:hAnsi="仿宋" w:eastAsia="仿宋" w:cs="仿宋"/>
          <w:b w:val="0"/>
          <w:bCs w:val="0"/>
          <w:lang w:val="en-US" w:eastAsia="zh-CN"/>
        </w:rPr>
        <w:t>类阿米巴模式、获取分享制、薪酬与激励结构优化</w:t>
      </w:r>
    </w:p>
    <w:p w14:paraId="7B13756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五、基于流程的人才战略解码</w:t>
      </w:r>
    </w:p>
    <w:p w14:paraId="6F883E91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highlight w:val="none"/>
          <w:lang w:val="en-US" w:eastAsia="zh-CN"/>
        </w:rPr>
        <w:t>战略</w:t>
      </w:r>
      <w:r>
        <w:rPr>
          <w:rFonts w:hint="default" w:ascii="微软雅黑" w:hAnsi="微软雅黑" w:eastAsia="微软雅黑" w:cs="微软雅黑"/>
          <w:b w:val="0"/>
          <w:bCs w:val="0"/>
          <w:highlight w:val="none"/>
          <w:lang w:val="en-US" w:eastAsia="zh-CN"/>
        </w:rPr>
        <w:t>关键任务</w:t>
      </w:r>
      <w:r>
        <w:rPr>
          <w:rFonts w:hint="eastAsia" w:ascii="微软雅黑" w:hAnsi="微软雅黑" w:eastAsia="微软雅黑" w:cs="微软雅黑"/>
          <w:b w:val="0"/>
          <w:bCs w:val="0"/>
          <w:highlight w:val="none"/>
          <w:lang w:val="en-US" w:eastAsia="zh-CN"/>
        </w:rPr>
        <w:t>解读</w:t>
      </w:r>
    </w:p>
    <w:p w14:paraId="22B4DD34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 w:ascii="微软雅黑" w:hAnsi="微软雅黑" w:eastAsia="微软雅黑" w:cs="微软雅黑"/>
          <w:b w:val="0"/>
          <w:bCs w:val="0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highlight w:val="none"/>
          <w:lang w:val="en-US" w:eastAsia="zh-CN"/>
        </w:rPr>
        <w:t>识别关键任务执行</w:t>
      </w:r>
      <w:r>
        <w:rPr>
          <w:rFonts w:hint="default" w:ascii="微软雅黑" w:hAnsi="微软雅黑" w:eastAsia="微软雅黑" w:cs="微软雅黑"/>
          <w:b w:val="0"/>
          <w:bCs w:val="0"/>
          <w:highlight w:val="none"/>
          <w:lang w:val="en-US" w:eastAsia="zh-CN"/>
        </w:rPr>
        <w:t>关键节点</w:t>
      </w:r>
    </w:p>
    <w:p w14:paraId="50B0B7E1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 w:ascii="微软雅黑" w:hAnsi="微软雅黑" w:eastAsia="微软雅黑" w:cs="微软雅黑"/>
          <w:b w:val="0"/>
          <w:bCs w:val="0"/>
          <w:highlight w:val="none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highlight w:val="none"/>
          <w:lang w:val="en-US" w:eastAsia="zh-CN"/>
        </w:rPr>
        <w:t>识别关键岗位</w:t>
      </w:r>
    </w:p>
    <w:p w14:paraId="037156E1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 w:ascii="微软雅黑" w:hAnsi="微软雅黑" w:eastAsia="微软雅黑" w:cs="微软雅黑"/>
          <w:b w:val="0"/>
          <w:bCs w:val="0"/>
          <w:highlight w:val="none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highlight w:val="none"/>
          <w:lang w:val="en-US" w:eastAsia="zh-CN"/>
        </w:rPr>
        <w:t>定义关键岗位人才画像</w:t>
      </w:r>
    </w:p>
    <w:p w14:paraId="2C06BD86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 w:ascii="微软雅黑" w:hAnsi="微软雅黑" w:eastAsia="微软雅黑" w:cs="微软雅黑"/>
          <w:b w:val="0"/>
          <w:bCs w:val="0"/>
          <w:highlight w:val="none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highlight w:val="none"/>
          <w:lang w:val="en-US" w:eastAsia="zh-CN"/>
        </w:rPr>
        <w:t>开展关键岗位人才盘点</w:t>
      </w:r>
    </w:p>
    <w:p w14:paraId="38663B3B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 w:ascii="微软雅黑" w:hAnsi="微软雅黑" w:eastAsia="微软雅黑" w:cs="微软雅黑"/>
          <w:b w:val="0"/>
          <w:bCs w:val="0"/>
          <w:highlight w:val="none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highlight w:val="none"/>
          <w:lang w:val="en-US" w:eastAsia="zh-CN"/>
        </w:rPr>
        <w:t>制定人才战略</w:t>
      </w:r>
    </w:p>
    <w:p w14:paraId="5405E730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 w:ascii="微软雅黑" w:hAnsi="微软雅黑" w:eastAsia="微软雅黑" w:cs="微软雅黑"/>
          <w:b w:val="0"/>
          <w:bCs w:val="0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highlight w:val="none"/>
          <w:lang w:val="en-US" w:eastAsia="zh-CN"/>
        </w:rPr>
        <w:t>案例分析</w:t>
      </w:r>
    </w:p>
    <w:p w14:paraId="34DB6DD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="微软雅黑" w:hAnsi="微软雅黑" w:eastAsia="微软雅黑" w:cs="微软雅黑"/>
          <w:b w:val="0"/>
          <w:bCs w:val="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小组演练</w:t>
      </w:r>
    </w:p>
    <w:p w14:paraId="65C67C6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50C50F"/>
    <w:multiLevelType w:val="singleLevel"/>
    <w:tmpl w:val="8350C50F"/>
    <w:lvl w:ilvl="0" w:tentative="0">
      <w:start w:val="1"/>
      <w:numFmt w:val="decimal"/>
      <w:suff w:val="nothing"/>
      <w:lvlText w:val="%1、"/>
      <w:lvlJc w:val="left"/>
      <w:pPr>
        <w:tabs>
          <w:tab w:val="left" w:pos="0"/>
        </w:tabs>
      </w:pPr>
      <w:rPr>
        <w:rFonts w:hint="default"/>
      </w:rPr>
    </w:lvl>
  </w:abstractNum>
  <w:abstractNum w:abstractNumId="1">
    <w:nsid w:val="89068503"/>
    <w:multiLevelType w:val="singleLevel"/>
    <w:tmpl w:val="89068503"/>
    <w:lvl w:ilvl="0" w:tentative="0">
      <w:start w:val="1"/>
      <w:numFmt w:val="decimal"/>
      <w:suff w:val="nothing"/>
      <w:lvlText w:val="%1、"/>
      <w:lvlJc w:val="left"/>
      <w:pPr>
        <w:tabs>
          <w:tab w:val="left" w:pos="0"/>
        </w:tabs>
      </w:pPr>
      <w:rPr>
        <w:rFonts w:hint="default"/>
      </w:rPr>
    </w:lvl>
  </w:abstractNum>
  <w:abstractNum w:abstractNumId="2">
    <w:nsid w:val="B6BCD1D2"/>
    <w:multiLevelType w:val="singleLevel"/>
    <w:tmpl w:val="B6BCD1D2"/>
    <w:lvl w:ilvl="0" w:tentative="0">
      <w:start w:val="1"/>
      <w:numFmt w:val="bullet"/>
      <w:lvlText w:val=""/>
      <w:lvlJc w:val="left"/>
      <w:pPr>
        <w:ind w:left="630" w:hanging="420"/>
      </w:pPr>
      <w:rPr>
        <w:rFonts w:hint="default" w:ascii="Wingdings" w:hAnsi="Wingdings"/>
      </w:rPr>
    </w:lvl>
  </w:abstractNum>
  <w:abstractNum w:abstractNumId="3">
    <w:nsid w:val="49ED97F2"/>
    <w:multiLevelType w:val="singleLevel"/>
    <w:tmpl w:val="49ED97F2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4">
    <w:nsid w:val="5532DC56"/>
    <w:multiLevelType w:val="singleLevel"/>
    <w:tmpl w:val="5532DC56"/>
    <w:lvl w:ilvl="0" w:tentative="0">
      <w:start w:val="1"/>
      <w:numFmt w:val="bullet"/>
      <w:lvlText w:val=""/>
      <w:lvlJc w:val="left"/>
      <w:pPr>
        <w:ind w:left="84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467BC0"/>
    <w:rsid w:val="1B467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2026-05-08T01:10:00Z</dcterms:created>
  <dc:creator>琚立庆</dc:creator>
  <cp:lastModifiedBy>琚立庆</cp:lastModifiedBy>
  <dcterms:modified xsi:type="dcterms:W3CDTF">2026-05-08T01:10:26Z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DEA00A3476CB4550981A3C1BC0E0EEEB_11</vt:lpwstr>
  </property>
  <property fmtid="{D5CDD505-2E9C-101B-9397-08002B2CF9AE}" pid="4" name="KSOTemplateDocerSaveRecord">
    <vt:lpwstr>eyJoZGlkIjoiYjU4MmNjMzhlOGUwOTk4NDUwNmQ5ZWZiMGRkZjM2OTkiLCJ1c2VySWQiOiIxNjE3MDcyODY0In0=</vt:lpwstr>
  </property>
</Properties>
</file>