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3864"/>
          <w:sz w:val="52"/>
        </w:rPr>
        <w:t>Comment les priorités et besoins des</w:t>
        <w:br/>
        <w:t>sous-composantes 1.2a et 1.2b</w:t>
        <w:br/>
        <w:t>deviennent des fiches d'investissement</w:t>
      </w:r>
    </w:p>
    <w:p>
      <w:pPr>
        <w:spacing w:before="600"/>
        <w:jc w:val="center"/>
      </w:pPr>
      <w:r>
        <w:rPr>
          <w:i/>
          <w:color w:val="555555"/>
          <w:sz w:val="28"/>
        </w:rPr>
        <w:t>Note explicative à destination non technique</w:t>
      </w:r>
    </w:p>
    <w:p>
      <w:pPr>
        <w:spacing w:before="4000"/>
        <w:jc w:val="center"/>
      </w:pPr>
      <w:r>
        <w:rPr>
          <w:color w:val="555555"/>
          <w:sz w:val="24"/>
        </w:rPr>
        <w:t>Portail de développement local COSO / FA-COSO</w:t>
      </w:r>
    </w:p>
    <w:p>
      <w:r>
        <w:br w:type="page"/>
      </w:r>
    </w:p>
    <w:p>
      <w:pPr>
        <w:pStyle w:val="Heading1"/>
      </w:pPr>
      <w:r>
        <w:rPr>
          <w:color w:val="1F3864"/>
          <w:sz w:val="36"/>
        </w:rPr>
        <w:t>1. Pourquoi ce document</w:t>
      </w:r>
    </w:p>
    <w:p>
      <w:pPr>
        <w:spacing w:after="160"/>
      </w:pPr>
      <w:r>
        <w:rPr>
          <w:b w:val="0"/>
          <w:i w:val="0"/>
          <w:sz w:val="22"/>
        </w:rPr>
        <w:t>Le portail enregistre déjà les priorités que chaque village exprime lors de la sous-composante 1.1 (écoles, forages, pistes, marchés de stockage, etc.) sous forme de « fiches d'investissement » : une fiche par priorité retenue, avec son coût estimé, le nombre de bénéficiaires attendus et le groupe qui l'a proposée.</w:t>
      </w:r>
    </w:p>
    <w:p>
      <w:pPr>
        <w:spacing w:after="160"/>
      </w:pPr>
      <w:r>
        <w:rPr>
          <w:b w:val="0"/>
          <w:i w:val="0"/>
          <w:sz w:val="22"/>
        </w:rPr>
        <w:t>Deux autres volets des réunions de village ne sont, à ce jour, pas encore intégrés dans le portail : la sous-composante 1.2a (le marché du canton et les équipements souhaités) et la sous-composante 1.2b (les groupes économiques du village, leurs besoins et leurs besoins de formation). Ce document explique, en langage simple, comment ces deux volets vont être transformés en fiches d'investissement, sans entrer dans le détail technique.</w:t>
      </w:r>
    </w:p>
    <w:p>
      <w:pPr>
        <w:pStyle w:val="Heading1"/>
      </w:pPr>
      <w:r>
        <w:rPr>
          <w:color w:val="1F3864"/>
          <w:sz w:val="36"/>
        </w:rPr>
        <w:t>2. Rappel : comment ça fonctionne déjà pour la sous-composante 1.1</w:t>
      </w:r>
    </w:p>
    <w:p>
      <w:pPr>
        <w:spacing w:after="160"/>
      </w:pPr>
      <w:r>
        <w:rPr>
          <w:b w:val="0"/>
          <w:i w:val="0"/>
          <w:sz w:val="22"/>
        </w:rPr>
        <w:t>Pour rappel, chaque priorité citée par le village en 1.1 (« Construction d'une école », « Réalisation d'un forage »…) devient automatiquement une fiche d'investissement dans le portail, avec :</w:t>
      </w:r>
    </w:p>
    <w:p>
      <w:pPr>
        <w:pStyle w:val="ListBullet"/>
        <w:spacing w:after="80"/>
      </w:pPr>
      <w:r>
        <w:t>un titre (le type de priorité choisi dans la liste, ou la description libre si « Autre »)</w:t>
      </w:r>
    </w:p>
    <w:p>
      <w:pPr>
        <w:pStyle w:val="ListBullet"/>
        <w:spacing w:after="80"/>
      </w:pPr>
      <w:r>
        <w:t>un secteur (école, santé, eau, énergie…)</w:t>
      </w:r>
    </w:p>
    <w:p>
      <w:pPr>
        <w:pStyle w:val="ListBullet"/>
        <w:spacing w:after="80"/>
      </w:pPr>
      <w:r>
        <w:t>un coût estimé et un nombre de bénéficiaires</w:t>
      </w:r>
    </w:p>
    <w:p>
      <w:pPr>
        <w:pStyle w:val="ListBullet"/>
        <w:spacing w:after="80"/>
      </w:pPr>
      <w:r>
        <w:t>le ou les groupes qui l'ont proposée (jeunes, femmes, agriculteurs, éleveurs, minorités ethniques…)</w:t>
      </w:r>
    </w:p>
    <w:p>
      <w:pPr>
        <w:pStyle w:val="ListBullet"/>
        <w:spacing w:after="80"/>
      </w:pPr>
      <w:r>
        <w:t>le classement de priorité donné par le village</w:t>
      </w:r>
    </w:p>
    <w:p>
      <w:pPr>
        <w:spacing w:after="160"/>
      </w:pPr>
      <w:r>
        <w:rPr>
          <w:b w:val="0"/>
          <w:i w:val="0"/>
          <w:sz w:val="22"/>
        </w:rPr>
        <w:t>Les sous-composantes 1.2a et 1.2b vont suivre la même logique de fond — chaque besoin retenu par le village devient une fiche d'investissement — mais avec des règles particulières adaptées à leur contenu, détaillées ci-dessous.</w:t>
      </w:r>
    </w:p>
    <w:p>
      <w:pPr>
        <w:pStyle w:val="Heading1"/>
      </w:pPr>
      <w:r>
        <w:rPr>
          <w:color w:val="1F3864"/>
          <w:sz w:val="36"/>
        </w:rPr>
        <w:t>3. Sous-composante 1.2a — Le marché du canton</w:t>
      </w:r>
    </w:p>
    <w:p>
      <w:pPr>
        <w:pStyle w:val="Heading2"/>
      </w:pPr>
      <w:r>
        <w:rPr>
          <w:color w:val="2E74B5"/>
          <w:sz w:val="28"/>
        </w:rPr>
        <w:t>3.1 Ce qui est saisi sur le terrain</w:t>
      </w:r>
    </w:p>
    <w:p>
      <w:pPr>
        <w:spacing w:after="160"/>
      </w:pPr>
      <w:r>
        <w:rPr>
          <w:b w:val="0"/>
          <w:i w:val="0"/>
          <w:sz w:val="22"/>
        </w:rPr>
        <w:t>Pour cette sous-composante, le village ne classe pas plusieurs priorités individuelles : il désigne le marché le plus important du canton pour lui (son nom et son lieu), puis liste les équipements qu'il souhaiterait y voir construits (hangars, boutiques, latrines, forage, parking…).</w:t>
      </w:r>
    </w:p>
    <w:p>
      <w:pPr>
        <w:spacing w:before="120" w:after="200"/>
        <w:ind w:left="283"/>
      </w:pPr>
      <w:r>
        <w:rPr>
          <w:b/>
          <w:color w:val="2E74B5"/>
        </w:rPr>
        <w:t xml:space="preserve">À retenir — </w:t>
      </w:r>
      <w:r>
        <w:rPr>
          <w:i/>
        </w:rPr>
        <w:t>Un même marché cantonal est souvent cité par plusieurs villages du canton, parfois même par un village d'un canton voisin qui s'y rend habituellement.</w:t>
      </w:r>
    </w:p>
    <w:p>
      <w:pPr>
        <w:pStyle w:val="Heading2"/>
      </w:pPr>
      <w:r>
        <w:rPr>
          <w:color w:val="2E74B5"/>
          <w:sz w:val="28"/>
        </w:rPr>
        <w:t>3.2 La difficulté à résoudre : un même marché cité de plusieurs façons</w:t>
      </w:r>
    </w:p>
    <w:p>
      <w:pPr>
        <w:spacing w:after="160"/>
      </w:pPr>
      <w:r>
        <w:rPr>
          <w:b w:val="0"/>
          <w:i w:val="0"/>
          <w:sz w:val="22"/>
        </w:rPr>
        <w:t>Chaque village saisit le nom du marché en texte libre. Le même marché peut donc apparaître sous plusieurs orthographes selon le village ou l'animateur qui saisit les données, par exemple :</w:t>
      </w:r>
    </w:p>
    <w:p>
      <w:pPr>
        <w:pStyle w:val="ListBullet"/>
        <w:spacing w:after="80"/>
      </w:pPr>
      <w:r>
        <w:t>« Naki-Ouest centre »</w:t>
      </w:r>
    </w:p>
    <w:p>
      <w:pPr>
        <w:pStyle w:val="ListBullet"/>
        <w:spacing w:after="80"/>
      </w:pPr>
      <w:r>
        <w:t>« Naki Ouest centre »</w:t>
      </w:r>
    </w:p>
    <w:p>
      <w:pPr>
        <w:pStyle w:val="ListBullet"/>
        <w:spacing w:after="80"/>
      </w:pPr>
      <w:r>
        <w:t>« Nakiouest centre »</w:t>
      </w:r>
    </w:p>
    <w:p>
      <w:pPr>
        <w:pStyle w:val="ListBullet"/>
        <w:spacing w:after="80"/>
      </w:pPr>
      <w:r>
        <w:t>« Naki-uest centre » (faute de frappe)</w:t>
      </w:r>
    </w:p>
    <w:p>
      <w:pPr>
        <w:spacing w:after="160"/>
      </w:pPr>
      <w:r>
        <w:rPr>
          <w:b w:val="0"/>
          <w:i w:val="0"/>
          <w:sz w:val="22"/>
        </w:rPr>
        <w:t>Sans précaution, chacune de ces variantes créerait un marché différent dans le portail, alors qu'il s'agit du même lieu. Le portail va donc automatiquement rapprocher ces variantes entre elles (en ignorant les différences de tirets, d'espaces, de majuscules, et en tolérant de petites fautes de frappe) avant de décider s'il s'agit d'un marché déjà connu ou d'un nouveau marché.</w:t>
      </w:r>
    </w:p>
    <w:p>
      <w:pPr>
        <w:pStyle w:val="Heading2"/>
      </w:pPr>
      <w:r>
        <w:rPr>
          <w:color w:val="2E74B5"/>
          <w:sz w:val="28"/>
        </w:rPr>
        <w:t>3.3 Ce que le portail va créer</w:t>
      </w:r>
    </w:p>
    <w:p>
      <w:pPr>
        <w:spacing w:after="160"/>
      </w:pPr>
      <w:r>
        <w:rPr>
          <w:b w:val="0"/>
          <w:i w:val="0"/>
          <w:sz w:val="22"/>
        </w:rPr>
        <w:t>Le portail va introduire une nouvelle notion : le « Marché » (qui regroupe les équipements souhaités pour un même lieu). Concrètement :</w:t>
      </w:r>
    </w:p>
    <w:p>
      <w:pPr>
        <w:pStyle w:val="ListNumber"/>
        <w:spacing w:after="80"/>
      </w:pPr>
      <w:r>
        <w:t>Le nom du marché devient le titre du Marché dans le portail.</w:t>
      </w:r>
    </w:p>
    <w:p>
      <w:pPr>
        <w:pStyle w:val="ListNumber"/>
        <w:spacing w:after="80"/>
      </w:pPr>
      <w:r>
        <w:t>Le portail essaie de déterminer automatiquement à quel canton (et, si possible, à quel village précis) ce marché appartient, en reconnaissant le nom du lieu dans le texte saisi (par exemple « Marché de Dapaong » → canton de Dapaong). Si cette reconnaissance échoue, le portail se rabat sur le canton du village qui a saisi l'information en premier, puis, en dernier recours, laisse l'information vide plutôt que de deviner au hasard.</w:t>
      </w:r>
    </w:p>
    <w:p>
      <w:pPr>
        <w:pStyle w:val="ListNumber"/>
        <w:spacing w:after="80"/>
      </w:pPr>
      <w:r>
        <w:t>Chaque équipement souhaité (« Construction des hangars », « Construction d'un forage »…) devient une fiche d'investissement à part entière, rattachée à ce Marché.</w:t>
      </w:r>
    </w:p>
    <w:p>
      <w:pPr>
        <w:pStyle w:val="ListNumber"/>
        <w:spacing w:after="80"/>
      </w:pPr>
      <w:r>
        <w:t>Si un deuxième village cite le même marché et demande le même équipement (avec de petites variations de formulation), le portail réutilise la fiche déjà créée au lieu d'en fabriquer une deuxième — il ajoute simplement ce village à la liste de ceux qui soutiennent cet équipement.</w:t>
      </w:r>
    </w:p>
    <w:p>
      <w:pPr>
        <w:pStyle w:val="ListNumber"/>
        <w:spacing w:after="80"/>
      </w:pPr>
      <w:r>
        <w:t>Les groupes qui ont proposé les équipements pour ce marché (jeunes, femmes, agriculteurs, éleveurs, minorités ethniques, personnes déplacées) sont enregistrés sur chacune des fiches d'équipement créées pour ce marché.</w:t>
      </w:r>
    </w:p>
    <w:p>
      <w:pPr>
        <w:pStyle w:val="Heading2"/>
      </w:pPr>
      <w:r>
        <w:rPr>
          <w:color w:val="2E74B5"/>
          <w:sz w:val="28"/>
        </w:rPr>
        <w:t>3.4 En résumé — exemple concret</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fill="1F3864"/>
          </w:tcPr>
          <w:p>
            <w:r/>
            <w:r>
              <w:rPr>
                <w:b/>
                <w:color w:val="FFFFFF"/>
              </w:rPr>
              <w:t>Village</w:t>
            </w:r>
          </w:p>
        </w:tc>
        <w:tc>
          <w:tcPr>
            <w:tcW w:type="dxa" w:w="2436"/>
            <w:shd w:fill="1F3864"/>
          </w:tcPr>
          <w:p>
            <w:r/>
            <w:r>
              <w:rPr>
                <w:b/>
                <w:color w:val="FFFFFF"/>
              </w:rPr>
              <w:t>Marché cité</w:t>
            </w:r>
          </w:p>
        </w:tc>
        <w:tc>
          <w:tcPr>
            <w:tcW w:type="dxa" w:w="2436"/>
            <w:shd w:fill="1F3864"/>
          </w:tcPr>
          <w:p>
            <w:r/>
            <w:r>
              <w:rPr>
                <w:b/>
                <w:color w:val="FFFFFF"/>
              </w:rPr>
              <w:t>Équipement demandé</w:t>
            </w:r>
          </w:p>
        </w:tc>
        <w:tc>
          <w:tcPr>
            <w:tcW w:type="dxa" w:w="2436"/>
            <w:shd w:fill="1F3864"/>
          </w:tcPr>
          <w:p>
            <w:r/>
            <w:r>
              <w:rPr>
                <w:b/>
                <w:color w:val="FFFFFF"/>
              </w:rPr>
              <w:t>Résultat dans le portail</w:t>
            </w:r>
          </w:p>
        </w:tc>
      </w:tr>
      <w:tr>
        <w:tc>
          <w:tcPr>
            <w:tcW w:type="dxa" w:w="2436"/>
          </w:tcPr>
          <w:p>
            <w:r>
              <w:t>Village A</w:t>
            </w:r>
          </w:p>
        </w:tc>
        <w:tc>
          <w:tcPr>
            <w:tcW w:type="dxa" w:w="2436"/>
          </w:tcPr>
          <w:p>
            <w:r>
              <w:t>Marché de Naki-Ouest</w:t>
            </w:r>
          </w:p>
        </w:tc>
        <w:tc>
          <w:tcPr>
            <w:tcW w:type="dxa" w:w="2436"/>
          </w:tcPr>
          <w:p>
            <w:r>
              <w:t>Construction des hangars</w:t>
            </w:r>
          </w:p>
        </w:tc>
        <w:tc>
          <w:tcPr>
            <w:tcW w:type="dxa" w:w="2436"/>
          </w:tcPr>
          <w:p>
            <w:r>
              <w:t>Nouveau Marché « Naki-Ouest » créé, avec une fiche « Construction des hangars »</w:t>
            </w:r>
          </w:p>
        </w:tc>
      </w:tr>
      <w:tr>
        <w:tc>
          <w:tcPr>
            <w:tcW w:type="dxa" w:w="2436"/>
          </w:tcPr>
          <w:p>
            <w:r>
              <w:t>Village B</w:t>
            </w:r>
          </w:p>
        </w:tc>
        <w:tc>
          <w:tcPr>
            <w:tcW w:type="dxa" w:w="2436"/>
          </w:tcPr>
          <w:p>
            <w:r>
              <w:t>Naki Ouest centre</w:t>
            </w:r>
          </w:p>
        </w:tc>
        <w:tc>
          <w:tcPr>
            <w:tcW w:type="dxa" w:w="2436"/>
          </w:tcPr>
          <w:p>
            <w:r>
              <w:t>Construction des hangars</w:t>
            </w:r>
          </w:p>
        </w:tc>
        <w:tc>
          <w:tcPr>
            <w:tcW w:type="dxa" w:w="2436"/>
          </w:tcPr>
          <w:p>
            <w:r>
              <w:t>Même Marché reconnu → Village B simplement ajouté comme soutien de la fiche existante</w:t>
            </w:r>
          </w:p>
        </w:tc>
      </w:tr>
      <w:tr>
        <w:tc>
          <w:tcPr>
            <w:tcW w:type="dxa" w:w="2436"/>
          </w:tcPr>
          <w:p>
            <w:r>
              <w:t>Village B</w:t>
            </w:r>
          </w:p>
        </w:tc>
        <w:tc>
          <w:tcPr>
            <w:tcW w:type="dxa" w:w="2436"/>
          </w:tcPr>
          <w:p>
            <w:r>
              <w:t>Naki Ouest centre</w:t>
            </w:r>
          </w:p>
        </w:tc>
        <w:tc>
          <w:tcPr>
            <w:tcW w:type="dxa" w:w="2436"/>
          </w:tcPr>
          <w:p>
            <w:r>
              <w:t>Construction des boutiques</w:t>
            </w:r>
          </w:p>
        </w:tc>
        <w:tc>
          <w:tcPr>
            <w:tcW w:type="dxa" w:w="2436"/>
          </w:tcPr>
          <w:p>
            <w:r>
              <w:t>Nouvelle fiche « Construction des boutiques » ajoutée au même Marché</w:t>
            </w:r>
          </w:p>
        </w:tc>
      </w:tr>
    </w:tbl>
    <w:p>
      <w:pPr>
        <w:spacing w:after="120"/>
      </w:pPr>
    </w:p>
    <w:p>
      <w:r>
        <w:br w:type="page"/>
      </w:r>
    </w:p>
    <w:p>
      <w:pPr>
        <w:pStyle w:val="Heading1"/>
      </w:pPr>
      <w:r>
        <w:rPr>
          <w:color w:val="1F3864"/>
          <w:sz w:val="36"/>
        </w:rPr>
        <w:t>4. Sous-composante 1.2b — Groupes économiques et besoins du village</w:t>
      </w:r>
    </w:p>
    <w:p>
      <w:pPr>
        <w:pStyle w:val="Heading2"/>
      </w:pPr>
      <w:r>
        <w:rPr>
          <w:color w:val="2E74B5"/>
          <w:sz w:val="28"/>
        </w:rPr>
        <w:t>4.1 Ce qui est saisi sur le terrain</w:t>
      </w:r>
    </w:p>
    <w:p>
      <w:pPr>
        <w:spacing w:after="160"/>
      </w:pPr>
      <w:r>
        <w:rPr>
          <w:b w:val="0"/>
          <w:i w:val="0"/>
          <w:sz w:val="22"/>
        </w:rPr>
        <w:t>Le village indique d'abord les principaux groupes économiques présents (maraîchers, éleveurs, artisans, commerçants, transformateurs…), puis liste librement deux catégories de besoins :</w:t>
      </w:r>
    </w:p>
    <w:p>
      <w:pPr>
        <w:pStyle w:val="ListBullet"/>
        <w:spacing w:after="80"/>
      </w:pPr>
      <w:r>
        <w:t>des besoins socio-économiques immédiats (par exemple : « appuyer la coopérative en machine d'égrenage de riz »)</w:t>
      </w:r>
    </w:p>
    <w:p>
      <w:pPr>
        <w:pStyle w:val="ListBullet"/>
        <w:spacing w:after="80"/>
      </w:pPr>
      <w:r>
        <w:t>des besoins de renforcement de capacités (par exemple : « former les groupements aux techniques agricoles durables »)</w:t>
      </w:r>
    </w:p>
    <w:p>
      <w:pPr>
        <w:spacing w:after="160"/>
      </w:pPr>
      <w:r>
        <w:rPr>
          <w:b w:val="0"/>
          <w:i w:val="0"/>
          <w:sz w:val="22"/>
        </w:rPr>
        <w:t>Le village décrit enfin, en une phrase, comment cette sous-composante contribue à l'adaptation au changement climatique.</w:t>
      </w:r>
    </w:p>
    <w:p>
      <w:pPr>
        <w:pStyle w:val="Heading2"/>
      </w:pPr>
      <w:r>
        <w:rPr>
          <w:color w:val="2E74B5"/>
          <w:sz w:val="28"/>
        </w:rPr>
        <w:t>4.2 Comment chaque besoin devient une fiche d'investissement</w:t>
      </w:r>
    </w:p>
    <w:p>
      <w:pPr>
        <w:spacing w:after="160"/>
      </w:pPr>
      <w:r>
        <w:rPr>
          <w:b w:val="0"/>
          <w:i w:val="0"/>
          <w:sz w:val="22"/>
        </w:rPr>
        <w:t>Comme pour la sous-composante 1.1, chaque besoin cité (qu'il s'agisse d'un besoin immédiat ou d'un besoin de formation) devient une fiche d'investissement dans le portail, avec pour titre le texte du besoin tel qu'il a été saisi.</w:t>
      </w:r>
    </w:p>
    <w:p>
      <w:pPr>
        <w:spacing w:before="120" w:after="200"/>
        <w:ind w:left="283"/>
      </w:pPr>
      <w:r>
        <w:rPr>
          <w:b/>
          <w:color w:val="2E74B5"/>
        </w:rPr>
        <w:t xml:space="preserve">À retenir — </w:t>
      </w:r>
      <w:r>
        <w:rPr>
          <w:i/>
        </w:rPr>
        <w:t>Contrairement à la sous-composante 1.1, ces besoins ne sont pas accompagnés d'un coût estimé ni d'un nombre de bénéficiaires dans le formulaire de terrain : ces informations resteront donc vides pour ces fiches, ce qui est normal.</w:t>
      </w:r>
    </w:p>
    <w:p>
      <w:pPr>
        <w:pStyle w:val="Heading2"/>
      </w:pPr>
      <w:r>
        <w:rPr>
          <w:color w:val="2E74B5"/>
          <w:sz w:val="28"/>
        </w:rPr>
        <w:t>4.3 Relier chaque besoin à son groupe économique</w:t>
      </w:r>
    </w:p>
    <w:p>
      <w:pPr>
        <w:spacing w:after="160"/>
      </w:pPr>
      <w:r>
        <w:rPr>
          <w:b w:val="0"/>
          <w:i w:val="0"/>
          <w:sz w:val="22"/>
        </w:rPr>
        <w:t>Le formulaire ne demande pas explicitement, pour chaque besoin, à quel groupe économique il se rapporte — seule la liste des groupes présents dans le village est connue globalement. Le portail va donc essayer de deviner ce lien automatiquement, en repérant dans le texte du besoin des mots qui font référence à l'un des groupes déjà cités par ce village (par exemple, un besoin mentionnant « riz » sera rattaché au groupe « riz » si ce village l'a bien cité parmi ses groupes économiques).</w:t>
      </w:r>
    </w:p>
    <w:p>
      <w:pPr>
        <w:spacing w:after="160"/>
      </w:pPr>
      <w:r>
        <w:rPr>
          <w:b w:val="0"/>
          <w:i w:val="0"/>
          <w:sz w:val="22"/>
        </w:rPr>
        <w:t>Quand aucun rapprochement fiable n'est possible (besoin trop général, comme « appuyer la mise en place des associations villageoises d'épargne »), le portail n'invente pas de lien : la fiche reste simplement non rattachée à un groupe économique particulier, plutôt que de risquer une association erronée.</w:t>
      </w:r>
    </w:p>
    <w:p>
      <w:pPr>
        <w:pStyle w:val="Heading1"/>
      </w:pPr>
      <w:r>
        <w:rPr>
          <w:color w:val="1F3864"/>
          <w:sz w:val="36"/>
        </w:rPr>
        <w:t>5. Ce que cela change concrètement pour les utilisateurs du portail</w:t>
      </w:r>
    </w:p>
    <w:p>
      <w:pPr>
        <w:pStyle w:val="ListBullet"/>
        <w:spacing w:after="80"/>
      </w:pPr>
      <w:r>
        <w:t>Les marchés cantonaux et leurs équipements souhaités seront visibles et consultables comme n'importe quelle autre priorité village.</w:t>
      </w:r>
    </w:p>
    <w:p>
      <w:pPr>
        <w:pStyle w:val="ListBullet"/>
        <w:spacing w:after="80"/>
      </w:pPr>
      <w:r>
        <w:t>Les besoins économiques et de formation des groupes du village seront eux aussi consultables et pourront être filtrés par village, canton ou groupe économique.</w:t>
      </w:r>
    </w:p>
    <w:p>
      <w:pPr>
        <w:pStyle w:val="ListBullet"/>
        <w:spacing w:after="80"/>
      </w:pPr>
      <w:r>
        <w:t>Aucune priorité déjà existante (sous-composante 1.1) n'est modifiée par ce travail : il s'agit uniquement d'ajouter deux nouvelles sources de données au même système.</w:t>
      </w:r>
    </w:p>
    <w:p>
      <w:pPr>
        <w:pStyle w:val="Heading1"/>
      </w:pPr>
      <w:r>
        <w:rPr>
          <w:color w:val="1F3864"/>
          <w:sz w:val="36"/>
        </w:rPr>
        <w:t>6. Limites connues, à garder à l'esprit</w:t>
      </w:r>
    </w:p>
    <w:p>
      <w:pPr>
        <w:pStyle w:val="ListBullet"/>
        <w:spacing w:after="80"/>
      </w:pPr>
      <w:r>
        <w:t>La reconnaissance automatique du canton ou du village d'un marché repose sur la façon dont le nom a été saisi sur le terrain : dans les cas les plus ambigus, elle peut échouer et laisser l'information vide — une vérification humaine ponctuelle restera utile au démarrage.</w:t>
      </w:r>
    </w:p>
    <w:p>
      <w:pPr>
        <w:pStyle w:val="ListBullet"/>
        <w:spacing w:after="80"/>
      </w:pPr>
      <w:r>
        <w:t>Le rapprochement automatique entre un besoin et son groupe économique est une aide, pas une certitude absolue : certains besoins resteront volontairement sans groupe associé si le texte est trop général.</w:t>
      </w:r>
    </w:p>
    <w:p>
      <w:pPr>
        <w:pStyle w:val="ListBullet"/>
        <w:spacing w:after="80"/>
      </w:pPr>
      <w:r>
        <w:t>Ces règles pourront être affinées avec le temps, au fur et à mesure que davantage de données réelles seront observées.</w:t>
      </w:r>
    </w:p>
    <w:p>
      <w:pPr>
        <w:spacing w:after="160"/>
      </w:pPr>
      <w:r>
        <w:rPr>
          <w:b w:val="0"/>
          <w:i w:val="0"/>
          <w:sz w:val="22"/>
        </w:rPr>
      </w:r>
    </w:p>
    <w:p>
      <w:pPr>
        <w:spacing w:before="600"/>
      </w:pPr>
      <w:r>
        <w:rPr>
          <w:i/>
          <w:color w:val="555555"/>
        </w:rPr>
        <w:t>Document préparé à titre explicatif — n'engage aucune modification du portail à ce stade.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