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0CEB0" w14:textId="77777777" w:rsidR="005C3985" w:rsidRPr="005C3985" w:rsidRDefault="005C3985" w:rsidP="005C3985"/>
    <w:p w14:paraId="5CDF2C84" w14:textId="77777777" w:rsidR="005C3985" w:rsidRDefault="005C3985" w:rsidP="005C3985">
      <w:pPr>
        <w:rPr>
          <w:b/>
          <w:bCs/>
          <w:sz w:val="28"/>
          <w:szCs w:val="28"/>
        </w:rPr>
      </w:pPr>
      <w:r w:rsidRPr="005C3985">
        <w:rPr>
          <w:b/>
          <w:bCs/>
          <w:sz w:val="28"/>
          <w:szCs w:val="28"/>
        </w:rPr>
        <w:t>Why exclude weak negative and recessive states from the comparison</w:t>
      </w:r>
    </w:p>
    <w:p w14:paraId="4896443B" w14:textId="77777777" w:rsidR="00B24E6A" w:rsidRPr="005C3985" w:rsidRDefault="00B24E6A" w:rsidP="005C3985">
      <w:pPr>
        <w:rPr>
          <w:b/>
          <w:bCs/>
          <w:sz w:val="28"/>
          <w:szCs w:val="28"/>
        </w:rPr>
      </w:pPr>
    </w:p>
    <w:p w14:paraId="78BBB7A4" w14:textId="77777777" w:rsidR="005C3985" w:rsidRPr="005C3985" w:rsidRDefault="005C3985" w:rsidP="005C3985">
      <w:r w:rsidRPr="005C3985">
        <w:t>The remaining Tapio states—</w:t>
      </w:r>
      <w:r w:rsidRPr="005C3985">
        <w:rPr>
          <w:b/>
          <w:bCs/>
        </w:rPr>
        <w:t>weak negative decoupling</w:t>
      </w:r>
      <w:r w:rsidRPr="005C3985">
        <w:t> and </w:t>
      </w:r>
      <w:r w:rsidRPr="005C3985">
        <w:rPr>
          <w:b/>
          <w:bCs/>
        </w:rPr>
        <w:t>recessive decoupling/coupling</w:t>
      </w:r>
      <w:r w:rsidRPr="005C3985">
        <w:t>—occur when both GDP and emissions are declining, or when emissions fall more slowly than GDP in downturns. These “recessive” and “weak negative” states are conceptually different from the core question of </w:t>
      </w:r>
      <w:r w:rsidRPr="005C3985">
        <w:rPr>
          <w:i/>
          <w:iCs/>
        </w:rPr>
        <w:t>how sectors behave when the economy grows</w:t>
      </w:r>
      <w:r w:rsidRPr="005C3985">
        <w:t>:</w:t>
      </w:r>
      <w:r w:rsidRPr="005C3985">
        <w:rPr>
          <w:rFonts w:ascii="Arial" w:hAnsi="Arial" w:cs="Arial"/>
        </w:rPr>
        <w:t>​​</w:t>
      </w:r>
    </w:p>
    <w:p w14:paraId="5480F9CD" w14:textId="77777777" w:rsidR="005C3985" w:rsidRPr="005C3985" w:rsidRDefault="005C3985" w:rsidP="005C3985">
      <w:pPr>
        <w:numPr>
          <w:ilvl w:val="0"/>
          <w:numId w:val="5"/>
        </w:numPr>
      </w:pPr>
      <w:r w:rsidRPr="005C3985">
        <w:t>In </w:t>
      </w:r>
      <w:r w:rsidRPr="005C3985">
        <w:rPr>
          <w:b/>
          <w:bCs/>
        </w:rPr>
        <w:t>recessive</w:t>
      </w:r>
      <w:r w:rsidRPr="005C3985">
        <w:t> states (ΔGDP &lt; 0), emissions changes are partly driven by macroeconomic contraction or crisis rather than structural improvements; several studies treat these as a distinct class because they conflate environmental and cyclical effects.</w:t>
      </w:r>
      <w:r w:rsidRPr="005C3985">
        <w:rPr>
          <w:rFonts w:ascii="Arial" w:hAnsi="Arial" w:cs="Arial"/>
        </w:rPr>
        <w:t>​</w:t>
      </w:r>
    </w:p>
    <w:p w14:paraId="72FC049D" w14:textId="77777777" w:rsidR="005C3985" w:rsidRPr="005C3985" w:rsidRDefault="005C3985" w:rsidP="005C3985">
      <w:pPr>
        <w:numPr>
          <w:ilvl w:val="0"/>
          <w:numId w:val="5"/>
        </w:numPr>
      </w:pPr>
      <w:r w:rsidRPr="005C3985">
        <w:rPr>
          <w:b/>
          <w:bCs/>
        </w:rPr>
        <w:t>Weak negative decoupling</w:t>
      </w:r>
      <w:r w:rsidRPr="005C3985">
        <w:t> (0 &lt; DI &lt; 0.8, ΔC &lt; 0, ΔGDP &lt; 0) describes cases where emissions fall but less than GDP in recessions; the environmental signal is ambiguous because reductions may be driven by lower activity rather than deliberate mitigation.</w:t>
      </w:r>
      <w:r w:rsidRPr="005C3985">
        <w:rPr>
          <w:rFonts w:ascii="Arial" w:hAnsi="Arial" w:cs="Arial"/>
        </w:rPr>
        <w:t>​</w:t>
      </w:r>
    </w:p>
    <w:p w14:paraId="4949DE64" w14:textId="77777777" w:rsidR="005C3985" w:rsidRPr="005C3985" w:rsidRDefault="005C3985" w:rsidP="005C3985">
      <w:r w:rsidRPr="005C3985">
        <w:t>For a sectoral analysis aimed at understanding </w:t>
      </w:r>
      <w:r w:rsidRPr="005C3985">
        <w:rPr>
          <w:b/>
          <w:bCs/>
        </w:rPr>
        <w:t>structural drivers of decoupling during growth</w:t>
      </w:r>
      <w:r w:rsidRPr="005C3985">
        <w:t>, it is common to emphasise:</w:t>
      </w:r>
    </w:p>
    <w:p w14:paraId="31E576A0" w14:textId="77777777" w:rsidR="005C3985" w:rsidRPr="005C3985" w:rsidRDefault="005C3985" w:rsidP="005C3985">
      <w:pPr>
        <w:numPr>
          <w:ilvl w:val="0"/>
          <w:numId w:val="6"/>
        </w:numPr>
      </w:pPr>
      <w:r w:rsidRPr="005C3985">
        <w:t>States where GDP is </w:t>
      </w:r>
      <w:r w:rsidRPr="005C3985">
        <w:rPr>
          <w:b/>
          <w:bCs/>
        </w:rPr>
        <w:t>increasing</w:t>
      </w:r>
      <w:r w:rsidRPr="005C3985">
        <w:t> and emissions are under better control (weak/strong decoupling) as “good”, and</w:t>
      </w:r>
    </w:p>
    <w:p w14:paraId="4B0498DD" w14:textId="77777777" w:rsidR="005C3985" w:rsidRPr="005C3985" w:rsidRDefault="005C3985" w:rsidP="005C3985">
      <w:pPr>
        <w:numPr>
          <w:ilvl w:val="0"/>
          <w:numId w:val="6"/>
        </w:numPr>
      </w:pPr>
      <w:r w:rsidRPr="005C3985">
        <w:t>States where GDP is increasing but emissions are worsening (expansive/strong negative decoupling) as “bad”.</w:t>
      </w:r>
      <w:r w:rsidRPr="005C3985">
        <w:rPr>
          <w:rFonts w:ascii="Arial" w:hAnsi="Arial" w:cs="Arial"/>
        </w:rPr>
        <w:t>​</w:t>
      </w:r>
    </w:p>
    <w:p w14:paraId="0A692DBB" w14:textId="77777777" w:rsidR="005C3985" w:rsidRPr="005C3985" w:rsidRDefault="005C3985" w:rsidP="005C3985">
      <w:r w:rsidRPr="005C3985">
        <w:t>By excluding recession</w:t>
      </w:r>
      <w:r w:rsidRPr="005C3985">
        <w:noBreakHyphen/>
        <w:t>type states from this particular comparison, the analysis focuses on </w:t>
      </w:r>
      <w:r w:rsidRPr="005C3985">
        <w:rPr>
          <w:b/>
          <w:bCs/>
        </w:rPr>
        <w:t>policy</w:t>
      </w:r>
      <w:r w:rsidRPr="005C3985">
        <w:rPr>
          <w:b/>
          <w:bCs/>
        </w:rPr>
        <w:noBreakHyphen/>
        <w:t>relevant growth periods</w:t>
      </w:r>
      <w:r w:rsidRPr="005C3985">
        <w:t>, where sectoral composition and technology choices are more meaningful determinants of decoupling, rather than macroeconomic downturns.</w:t>
      </w:r>
    </w:p>
    <w:p w14:paraId="000C1171" w14:textId="77777777" w:rsidR="005C3985" w:rsidRDefault="005C3985" w:rsidP="005C3985">
      <w:r w:rsidRPr="005C3985">
        <w:t>In short, the grouping into “good” (weak + strong decoupling) and “bad” (expansive negative + strong negative decoupling) follows the way the Tapio literature distinguishes environmentally favourable vs unfavourable patterns under economic growth, while recessive and weak negative states are set aside here because they mainly reflect downturn dynamics rather than the quality of growth.</w:t>
      </w:r>
    </w:p>
    <w:p w14:paraId="28A1A553" w14:textId="77777777" w:rsidR="005C3985" w:rsidRDefault="005C3985" w:rsidP="005C3985"/>
    <w:p w14:paraId="0978DC0A" w14:textId="69022AF7" w:rsidR="005C3985" w:rsidRDefault="005C3985" w:rsidP="005C3985">
      <w:hyperlink r:id="rId5" w:history="1">
        <w:r w:rsidRPr="002028FD">
          <w:rPr>
            <w:rStyle w:val="Hyperlink"/>
          </w:rPr>
          <w:t>https://pmc.ncbi.nlm.nih.gov/articles/PMC7926756/</w:t>
        </w:r>
      </w:hyperlink>
    </w:p>
    <w:p w14:paraId="29C41528" w14:textId="6205C36D" w:rsidR="005C3985" w:rsidRDefault="005C3985" w:rsidP="005C3985">
      <w:hyperlink r:id="rId6" w:history="1">
        <w:r w:rsidRPr="002028FD">
          <w:rPr>
            <w:rStyle w:val="Hyperlink"/>
          </w:rPr>
          <w:t>https://www.sciencedirect.com/science/article/pii/S1364032116305184#bib11</w:t>
        </w:r>
      </w:hyperlink>
    </w:p>
    <w:p w14:paraId="5F9BD6BC" w14:textId="67C40EE9" w:rsidR="005C3985" w:rsidRDefault="005C3985" w:rsidP="005C3985">
      <w:hyperlink r:id="rId7" w:history="1">
        <w:r w:rsidRPr="002028FD">
          <w:rPr>
            <w:rStyle w:val="Hyperlink"/>
          </w:rPr>
          <w:t>https://www.researchgate.net/publication/366199503_Research_on_International_Carbon_Emission_Responsibility_Based_on_Tapio_Decoupling_Model</w:t>
        </w:r>
      </w:hyperlink>
    </w:p>
    <w:p w14:paraId="3C6028D7" w14:textId="75F3C8C9" w:rsidR="005C3985" w:rsidRDefault="005C3985" w:rsidP="005C3985">
      <w:hyperlink r:id="rId8" w:history="1">
        <w:r w:rsidRPr="002028FD">
          <w:rPr>
            <w:rStyle w:val="Hyperlink"/>
          </w:rPr>
          <w:t>https://www.nature.com/articles/s41598-023-45492-7</w:t>
        </w:r>
      </w:hyperlink>
    </w:p>
    <w:p w14:paraId="1D38AF02" w14:textId="77777777" w:rsidR="005C3985" w:rsidRPr="005C3985" w:rsidRDefault="005C3985" w:rsidP="005C3985"/>
    <w:p w14:paraId="3669A71E" w14:textId="2A93F3A3" w:rsidR="00B24E6A" w:rsidRPr="00B24E6A" w:rsidRDefault="00B24E6A" w:rsidP="00B24E6A">
      <w:pPr>
        <w:rPr>
          <w:b/>
          <w:bCs/>
          <w:sz w:val="28"/>
          <w:szCs w:val="28"/>
        </w:rPr>
      </w:pPr>
      <w:r w:rsidRPr="00B24E6A">
        <w:rPr>
          <w:b/>
          <w:bCs/>
          <w:sz w:val="28"/>
          <w:szCs w:val="28"/>
        </w:rPr>
        <w:t xml:space="preserve">How to report </w:t>
      </w:r>
      <w:r w:rsidRPr="00B24E6A">
        <w:rPr>
          <w:b/>
          <w:bCs/>
          <w:sz w:val="28"/>
          <w:szCs w:val="28"/>
        </w:rPr>
        <w:t xml:space="preserve">Regression </w:t>
      </w:r>
      <w:r w:rsidRPr="00B24E6A">
        <w:rPr>
          <w:b/>
          <w:bCs/>
          <w:sz w:val="28"/>
          <w:szCs w:val="28"/>
        </w:rPr>
        <w:t>in final report</w:t>
      </w:r>
    </w:p>
    <w:p w14:paraId="73617B87" w14:textId="77777777" w:rsidR="00B24E6A" w:rsidRPr="00B24E6A" w:rsidRDefault="00B24E6A" w:rsidP="00B24E6A">
      <w:pPr>
        <w:rPr>
          <w:b/>
          <w:bCs/>
        </w:rPr>
      </w:pPr>
    </w:p>
    <w:p w14:paraId="0E3CFE1F" w14:textId="77777777" w:rsidR="00B24E6A" w:rsidRPr="00B24E6A" w:rsidRDefault="00B24E6A" w:rsidP="00B24E6A">
      <w:r w:rsidRPr="00B24E6A">
        <w:t>In the methods section of the last part:</w:t>
      </w:r>
    </w:p>
    <w:p w14:paraId="54EDA508" w14:textId="77777777" w:rsidR="00B24E6A" w:rsidRPr="00B24E6A" w:rsidRDefault="00B24E6A" w:rsidP="00B24E6A">
      <w:pPr>
        <w:numPr>
          <w:ilvl w:val="0"/>
          <w:numId w:val="7"/>
        </w:numPr>
      </w:pPr>
      <w:r w:rsidRPr="00B24E6A">
        <w:t>“To explore whether sectoral composition helps explain variations in the Tapio decoupling index, separate linear regressions were estimated for each country, using the decoupling index as the dependent variable and sectoral CO₂ shares as predictors over 1974–2023.”</w:t>
      </w:r>
    </w:p>
    <w:p w14:paraId="3BE0FF78" w14:textId="77777777" w:rsidR="00B24E6A" w:rsidRPr="00B24E6A" w:rsidRDefault="00B24E6A" w:rsidP="00B24E6A">
      <w:r w:rsidRPr="00B24E6A">
        <w:t>In the results text (near the table/figure):</w:t>
      </w:r>
    </w:p>
    <w:p w14:paraId="41B57716" w14:textId="77777777" w:rsidR="00B24E6A" w:rsidRPr="00B24E6A" w:rsidRDefault="00B24E6A" w:rsidP="00B24E6A">
      <w:pPr>
        <w:numPr>
          <w:ilvl w:val="0"/>
          <w:numId w:val="8"/>
        </w:numPr>
      </w:pPr>
      <w:r w:rsidRPr="00B24E6A">
        <w:lastRenderedPageBreak/>
        <w:t>“For all five countries, none of the sector share coefficients is statistically significant at the 5% level, and standard errors are relatively large. This indicates that, within this simple linear specification and given the available sample size, sector shares do not show a clear, robust linear association with the decoupling index.”</w:t>
      </w:r>
    </w:p>
    <w:p w14:paraId="69A64E52" w14:textId="77777777" w:rsidR="00B24E6A" w:rsidRPr="00B24E6A" w:rsidRDefault="00B24E6A" w:rsidP="00B24E6A">
      <w:pPr>
        <w:numPr>
          <w:ilvl w:val="0"/>
          <w:numId w:val="8"/>
        </w:numPr>
      </w:pPr>
      <w:r w:rsidRPr="00B24E6A">
        <w:t>“The signs of some coefficients suggest that higher shares of certain sectors (e.g. power or industry) tend to coincide with higher decoupling index values (weaker decoupling), but these patterns are not statistically significant and should be interpreted as indicative rather than conclusive.”</w:t>
      </w:r>
    </w:p>
    <w:p w14:paraId="2C179CFF" w14:textId="77777777" w:rsidR="00B24E6A" w:rsidRPr="00B24E6A" w:rsidRDefault="00B24E6A" w:rsidP="00B24E6A">
      <w:r w:rsidRPr="00B24E6A">
        <w:t>How to describe the table itself:</w:t>
      </w:r>
    </w:p>
    <w:p w14:paraId="20EEAA1F" w14:textId="77777777" w:rsidR="00B24E6A" w:rsidRPr="00B24E6A" w:rsidRDefault="00B24E6A" w:rsidP="00B24E6A">
      <w:pPr>
        <w:numPr>
          <w:ilvl w:val="0"/>
          <w:numId w:val="9"/>
        </w:numPr>
      </w:pPr>
      <w:r w:rsidRPr="00B24E6A">
        <w:t>“Table X reports the estimated coefficients from country</w:t>
      </w:r>
      <w:r w:rsidRPr="00B24E6A">
        <w:noBreakHyphen/>
        <w:t>specific regressions of the Tapio decoupling index on sectoral CO₂ shares. The intercept and sector coefficients are reported together with standard errors, t</w:t>
      </w:r>
      <w:r w:rsidRPr="00B24E6A">
        <w:noBreakHyphen/>
        <w:t>statistics, p</w:t>
      </w:r>
      <w:r w:rsidRPr="00B24E6A">
        <w:noBreakHyphen/>
        <w:t>values, and the number of years used for each country.”</w:t>
      </w:r>
    </w:p>
    <w:p w14:paraId="7F0125AC" w14:textId="77777777" w:rsidR="00B24E6A" w:rsidRPr="00B24E6A" w:rsidRDefault="00B24E6A" w:rsidP="00B24E6A">
      <w:r w:rsidRPr="00B24E6A">
        <w:t>And a brief concluding sentence for that section:</w:t>
      </w:r>
    </w:p>
    <w:p w14:paraId="6A0F4373" w14:textId="77777777" w:rsidR="00B24E6A" w:rsidRPr="00B24E6A" w:rsidRDefault="00B24E6A" w:rsidP="00B24E6A">
      <w:pPr>
        <w:numPr>
          <w:ilvl w:val="0"/>
          <w:numId w:val="10"/>
        </w:numPr>
      </w:pPr>
      <w:r w:rsidRPr="00B24E6A">
        <w:t>“Overall, the regression results suggest that, given data limitations and multicollinearity between sector shares, sector composition alone cannot statistically explain the year</w:t>
      </w:r>
      <w:r w:rsidRPr="00B24E6A">
        <w:noBreakHyphen/>
        <w:t>to</w:t>
      </w:r>
      <w:r w:rsidRPr="00B24E6A">
        <w:noBreakHyphen/>
        <w:t>year variation in decoupling, so the sectoral analysis in this report is best interpreted descriptively rather than as formal evidence of causal sectoral drivers.”</w:t>
      </w:r>
    </w:p>
    <w:p w14:paraId="5A40F9B7" w14:textId="77777777" w:rsidR="00A6574C" w:rsidRDefault="00A6574C"/>
    <w:p w14:paraId="34CE17E7" w14:textId="22A5FCEB" w:rsidR="00B24E6A" w:rsidRDefault="00B24E6A">
      <w:pPr>
        <w:rPr>
          <w:b/>
          <w:bCs/>
          <w:sz w:val="28"/>
          <w:szCs w:val="28"/>
        </w:rPr>
      </w:pPr>
      <w:r w:rsidRPr="00B24E6A">
        <w:rPr>
          <w:b/>
          <w:bCs/>
          <w:sz w:val="28"/>
          <w:szCs w:val="28"/>
        </w:rPr>
        <w:t>NA values in the Regression</w:t>
      </w:r>
    </w:p>
    <w:p w14:paraId="44048923" w14:textId="77777777" w:rsidR="00B24E6A" w:rsidRDefault="00B24E6A">
      <w:pPr>
        <w:rPr>
          <w:b/>
          <w:bCs/>
          <w:sz w:val="28"/>
          <w:szCs w:val="28"/>
        </w:rPr>
      </w:pPr>
    </w:p>
    <w:p w14:paraId="129B2834" w14:textId="77777777" w:rsidR="00B24E6A" w:rsidRPr="00B24E6A" w:rsidRDefault="00B24E6A" w:rsidP="00B24E6A">
      <w:r w:rsidRPr="00B24E6A">
        <w:t>In these country</w:t>
      </w:r>
      <w:r w:rsidRPr="00B24E6A">
        <w:noBreakHyphen/>
        <w:t>specific regression tables, the NA rows occur for sectors that cannot get a separate coefficient estimate in that country’s model. This happens because of how the data and sector shares are structured.</w:t>
      </w:r>
    </w:p>
    <w:p w14:paraId="65621B92" w14:textId="77777777" w:rsidR="00B24E6A" w:rsidRPr="00B24E6A" w:rsidRDefault="00B24E6A" w:rsidP="00B24E6A">
      <w:r w:rsidRPr="00B24E6A">
        <w:t>You can explain it in your report along these lines:</w:t>
      </w:r>
    </w:p>
    <w:p w14:paraId="7FC89138" w14:textId="77777777" w:rsidR="00B24E6A" w:rsidRPr="00B24E6A" w:rsidRDefault="00B24E6A" w:rsidP="00B24E6A">
      <w:pPr>
        <w:numPr>
          <w:ilvl w:val="0"/>
          <w:numId w:val="11"/>
        </w:numPr>
      </w:pPr>
      <w:r w:rsidRPr="00B24E6A">
        <w:t>The regression uses sectoral CO₂ shares as predictors, which by construction are strongly correlated and sum to (approximately) one in each year.</w:t>
      </w:r>
    </w:p>
    <w:p w14:paraId="4C7801BC" w14:textId="77777777" w:rsidR="00B24E6A" w:rsidRPr="00B24E6A" w:rsidRDefault="00B24E6A" w:rsidP="00B24E6A">
      <w:pPr>
        <w:numPr>
          <w:ilvl w:val="0"/>
          <w:numId w:val="11"/>
        </w:numPr>
      </w:pPr>
      <w:r w:rsidRPr="00B24E6A">
        <w:t>For some sectors (for example, “Waste” or “Transport” in certain countries), the sector share is either:</w:t>
      </w:r>
    </w:p>
    <w:p w14:paraId="32E774D2" w14:textId="77777777" w:rsidR="00B24E6A" w:rsidRPr="00B24E6A" w:rsidRDefault="00B24E6A" w:rsidP="00B24E6A">
      <w:pPr>
        <w:numPr>
          <w:ilvl w:val="1"/>
          <w:numId w:val="11"/>
        </w:numPr>
      </w:pPr>
      <w:r w:rsidRPr="00B24E6A">
        <w:t>Always zero or nearly constant over time, or</w:t>
      </w:r>
    </w:p>
    <w:p w14:paraId="747968DD" w14:textId="77777777" w:rsidR="00B24E6A" w:rsidRPr="00B24E6A" w:rsidRDefault="00B24E6A" w:rsidP="00B24E6A">
      <w:pPr>
        <w:numPr>
          <w:ilvl w:val="1"/>
          <w:numId w:val="11"/>
        </w:numPr>
      </w:pPr>
      <w:r w:rsidRPr="00B24E6A">
        <w:t>Perfectly collinear with the other sector shares (because if all other shares are known, the last one is mechanically determined).</w:t>
      </w:r>
    </w:p>
    <w:p w14:paraId="70B8D88C" w14:textId="77777777" w:rsidR="00B24E6A" w:rsidRPr="00B24E6A" w:rsidRDefault="00B24E6A" w:rsidP="00B24E6A">
      <w:pPr>
        <w:numPr>
          <w:ilvl w:val="0"/>
          <w:numId w:val="11"/>
        </w:numPr>
      </w:pPr>
      <w:r w:rsidRPr="00B24E6A">
        <w:t>In such cases, the regression cannot uniquely separate the effect of that sector from the effects of the others, so R treats that variable as aliased and drops it from the estimation. The corresponding coefficient, standard error, t</w:t>
      </w:r>
      <w:r w:rsidRPr="00B24E6A">
        <w:noBreakHyphen/>
        <w:t>statistic and p</w:t>
      </w:r>
      <w:r w:rsidRPr="00B24E6A">
        <w:noBreakHyphen/>
        <w:t>value are therefore reported as NA.</w:t>
      </w:r>
    </w:p>
    <w:p w14:paraId="7E587335" w14:textId="77777777" w:rsidR="00B24E6A" w:rsidRPr="00B24E6A" w:rsidRDefault="00B24E6A" w:rsidP="00B24E6A">
      <w:r w:rsidRPr="00B24E6A">
        <w:t>So in the text you can write, for example:</w:t>
      </w:r>
    </w:p>
    <w:p w14:paraId="2248BE4E" w14:textId="77777777" w:rsidR="00B24E6A" w:rsidRPr="00B24E6A" w:rsidRDefault="00B24E6A" w:rsidP="00B24E6A">
      <w:pPr>
        <w:rPr>
          <w:i/>
          <w:iCs/>
        </w:rPr>
      </w:pPr>
      <w:r w:rsidRPr="00B24E6A">
        <w:rPr>
          <w:i/>
          <w:iCs/>
        </w:rPr>
        <w:t>“In some country</w:t>
      </w:r>
      <w:r w:rsidRPr="00B24E6A">
        <w:rPr>
          <w:i/>
          <w:iCs/>
        </w:rPr>
        <w:noBreakHyphen/>
        <w:t>specific regressions, certain sector variables (e.g. Waste or Transport) appear with NA coefficients. This occurs because those sector shares are either constant or exactly determined by the other sectors in that country’s data, so they are perfectly collinear and cannot be estimated separately. In such cases the variable is automatically dropped from the regression, and no coefficient is reported.”</w:t>
      </w:r>
    </w:p>
    <w:p w14:paraId="181900D7" w14:textId="77777777" w:rsidR="00B24E6A" w:rsidRDefault="00B24E6A">
      <w:pPr>
        <w:rPr>
          <w:b/>
          <w:bCs/>
          <w:sz w:val="28"/>
          <w:szCs w:val="28"/>
        </w:rPr>
      </w:pPr>
    </w:p>
    <w:p w14:paraId="00BC2A78" w14:textId="77777777" w:rsidR="009E2203" w:rsidRDefault="009E2203" w:rsidP="009E2203">
      <w:pPr>
        <w:rPr>
          <w:b/>
          <w:bCs/>
          <w:sz w:val="28"/>
          <w:szCs w:val="28"/>
        </w:rPr>
      </w:pPr>
    </w:p>
    <w:p w14:paraId="59C29C21" w14:textId="3264B99D" w:rsidR="009E2203" w:rsidRDefault="009E2203" w:rsidP="009E2203">
      <w:pPr>
        <w:jc w:val="center"/>
        <w:rPr>
          <w:b/>
          <w:bCs/>
          <w:sz w:val="28"/>
          <w:szCs w:val="28"/>
        </w:rPr>
      </w:pPr>
      <w:r>
        <w:rPr>
          <w:b/>
          <w:bCs/>
          <w:sz w:val="28"/>
          <w:szCs w:val="28"/>
        </w:rPr>
        <w:lastRenderedPageBreak/>
        <w:t xml:space="preserve">Perplexity advice on how to report everything in the report </w:t>
      </w:r>
    </w:p>
    <w:p w14:paraId="2435DE38" w14:textId="77777777" w:rsidR="009E2203" w:rsidRDefault="009E2203" w:rsidP="009E2203">
      <w:pPr>
        <w:rPr>
          <w:b/>
          <w:bCs/>
          <w:sz w:val="28"/>
          <w:szCs w:val="28"/>
        </w:rPr>
      </w:pPr>
    </w:p>
    <w:p w14:paraId="21BEDA42" w14:textId="19EC95A7" w:rsidR="009E2203" w:rsidRPr="009E2203" w:rsidRDefault="009E2203" w:rsidP="009E2203">
      <w:pPr>
        <w:rPr>
          <w:b/>
          <w:bCs/>
        </w:rPr>
      </w:pPr>
      <w:r w:rsidRPr="009E2203">
        <w:rPr>
          <w:b/>
          <w:bCs/>
        </w:rPr>
        <w:t>Baseline GDP–CO₂ change figure</w:t>
      </w:r>
    </w:p>
    <w:p w14:paraId="5B4B58FF" w14:textId="77777777" w:rsidR="009E2203" w:rsidRPr="009E2203" w:rsidRDefault="009E2203" w:rsidP="009E2203">
      <w:pPr>
        <w:numPr>
          <w:ilvl w:val="0"/>
          <w:numId w:val="12"/>
        </w:numPr>
      </w:pPr>
      <w:r w:rsidRPr="009E2203">
        <w:t>Describe as:</w:t>
      </w:r>
      <w:r w:rsidRPr="009E2203">
        <w:br/>
        <w:t>“Figure X shows the percentage change in GDP and total CO₂ emissions relative to 1973 for each country over 1973–2023, with GDP as a solid line and CO₂ as a dashed line.”</w:t>
      </w:r>
    </w:p>
    <w:p w14:paraId="74A21E0D" w14:textId="77777777" w:rsidR="009E2203" w:rsidRPr="009E2203" w:rsidRDefault="009E2203" w:rsidP="009E2203">
      <w:pPr>
        <w:numPr>
          <w:ilvl w:val="0"/>
          <w:numId w:val="12"/>
        </w:numPr>
      </w:pPr>
      <w:r w:rsidRPr="009E2203">
        <w:t>Interpretation:</w:t>
      </w:r>
    </w:p>
    <w:p w14:paraId="0A67DCC0" w14:textId="77777777" w:rsidR="009E2203" w:rsidRPr="009E2203" w:rsidRDefault="009E2203" w:rsidP="009E2203">
      <w:pPr>
        <w:numPr>
          <w:ilvl w:val="1"/>
          <w:numId w:val="12"/>
        </w:numPr>
      </w:pPr>
      <w:r w:rsidRPr="009E2203">
        <w:t>Highlight that GDP grows much faster than CO₂ in some countries (stronger decoupling tendency), while in others both grow rapidly.</w:t>
      </w:r>
      <w:r w:rsidRPr="009E2203">
        <w:rPr>
          <w:rFonts w:ascii="Arial" w:hAnsi="Arial" w:cs="Arial"/>
        </w:rPr>
        <w:t>​</w:t>
      </w:r>
    </w:p>
    <w:p w14:paraId="4D8C672C" w14:textId="77777777" w:rsidR="009E2203" w:rsidRPr="009E2203" w:rsidRDefault="002036C0" w:rsidP="009E2203">
      <w:r w:rsidRPr="002036C0">
        <w:rPr>
          <w:b/>
          <w:bCs/>
          <w:noProof/>
        </w:rPr>
        <w:pict w14:anchorId="338EB038">
          <v:rect id="_x0000_i1030" alt="" style="width:451.3pt;height:.05pt;mso-width-percent:0;mso-height-percent:0;mso-width-percent:0;mso-height-percent:0" o:hralign="center" o:hrstd="t" o:hr="t" fillcolor="#a0a0a0" stroked="f"/>
        </w:pict>
      </w:r>
    </w:p>
    <w:p w14:paraId="1E5EF062" w14:textId="77777777" w:rsidR="009E2203" w:rsidRPr="009E2203" w:rsidRDefault="009E2203" w:rsidP="009E2203">
      <w:pPr>
        <w:rPr>
          <w:b/>
          <w:bCs/>
        </w:rPr>
      </w:pPr>
      <w:r w:rsidRPr="009E2203">
        <w:rPr>
          <w:b/>
          <w:bCs/>
        </w:rPr>
        <w:t>Baseline change summary table</w:t>
      </w:r>
    </w:p>
    <w:p w14:paraId="058EAB02" w14:textId="77777777" w:rsidR="009E2203" w:rsidRPr="009E2203" w:rsidRDefault="009E2203" w:rsidP="009E2203">
      <w:pPr>
        <w:numPr>
          <w:ilvl w:val="0"/>
          <w:numId w:val="13"/>
        </w:numPr>
      </w:pPr>
      <w:r w:rsidRPr="009E2203">
        <w:t>Describe as:</w:t>
      </w:r>
      <w:r w:rsidRPr="009E2203">
        <w:br/>
        <w:t>“Table X reports total percentage changes in GDP and CO₂ emissions between 1973 and 2023 for each country.”</w:t>
      </w:r>
    </w:p>
    <w:p w14:paraId="4D4328A5" w14:textId="77777777" w:rsidR="009E2203" w:rsidRPr="009E2203" w:rsidRDefault="009E2203" w:rsidP="009E2203">
      <w:pPr>
        <w:numPr>
          <w:ilvl w:val="0"/>
          <w:numId w:val="13"/>
        </w:numPr>
      </w:pPr>
      <w:r w:rsidRPr="009E2203">
        <w:t>Interpretation:</w:t>
      </w:r>
    </w:p>
    <w:p w14:paraId="247B0F45" w14:textId="77777777" w:rsidR="009E2203" w:rsidRPr="009E2203" w:rsidRDefault="009E2203" w:rsidP="009E2203">
      <w:pPr>
        <w:numPr>
          <w:ilvl w:val="1"/>
          <w:numId w:val="13"/>
        </w:numPr>
      </w:pPr>
      <w:r w:rsidRPr="009E2203">
        <w:t>Use it to compare long</w:t>
      </w:r>
      <w:r w:rsidRPr="009E2203">
        <w:noBreakHyphen/>
        <w:t>run outcomes succinctly (e.g. “Japan’s CO₂ in 2023 is close to its 1973 level, while GDP is much higher, indicating long</w:t>
      </w:r>
      <w:r w:rsidRPr="009E2203">
        <w:noBreakHyphen/>
        <w:t>run absolute decoupling.”).</w:t>
      </w:r>
      <w:r w:rsidRPr="009E2203">
        <w:rPr>
          <w:rFonts w:ascii="Arial" w:hAnsi="Arial" w:cs="Arial"/>
        </w:rPr>
        <w:t>​</w:t>
      </w:r>
    </w:p>
    <w:p w14:paraId="20058EEE" w14:textId="77777777" w:rsidR="009E2203" w:rsidRPr="009E2203" w:rsidRDefault="002036C0" w:rsidP="009E2203">
      <w:r w:rsidRPr="002036C0">
        <w:rPr>
          <w:b/>
          <w:bCs/>
          <w:noProof/>
        </w:rPr>
        <w:pict w14:anchorId="38137420">
          <v:rect id="_x0000_i1029" alt="" style="width:451.3pt;height:.05pt;mso-width-percent:0;mso-height-percent:0;mso-width-percent:0;mso-height-percent:0" o:hralign="center" o:hrstd="t" o:hr="t" fillcolor="#a0a0a0" stroked="f"/>
        </w:pict>
      </w:r>
    </w:p>
    <w:p w14:paraId="1048F12B" w14:textId="7F5EB3D4" w:rsidR="009E2203" w:rsidRPr="009E2203" w:rsidRDefault="009E2203" w:rsidP="009E2203">
      <w:pPr>
        <w:rPr>
          <w:b/>
          <w:bCs/>
        </w:rPr>
      </w:pPr>
      <w:r w:rsidRPr="009E2203">
        <w:rPr>
          <w:b/>
          <w:bCs/>
        </w:rPr>
        <w:t>Tapio state heatmap</w:t>
      </w:r>
      <w:r>
        <w:rPr>
          <w:b/>
          <w:bCs/>
        </w:rPr>
        <w:t>/Ribbon chart</w:t>
      </w:r>
    </w:p>
    <w:p w14:paraId="3B16F65B" w14:textId="77777777" w:rsidR="009E2203" w:rsidRPr="009E2203" w:rsidRDefault="009E2203" w:rsidP="009E2203">
      <w:pPr>
        <w:numPr>
          <w:ilvl w:val="0"/>
          <w:numId w:val="14"/>
        </w:numPr>
      </w:pPr>
      <w:r w:rsidRPr="009E2203">
        <w:t>Describe as:</w:t>
      </w:r>
      <w:r w:rsidRPr="009E2203">
        <w:br/>
        <w:t>“Figure X displays the Tapio decoupling state for each country–year as a coloured tile, distinguishing strong/weak decoupling, coupling, and negative decoupling states.”</w:t>
      </w:r>
      <w:r w:rsidRPr="009E2203">
        <w:rPr>
          <w:rFonts w:ascii="Arial" w:hAnsi="Arial" w:cs="Arial"/>
        </w:rPr>
        <w:t>​</w:t>
      </w:r>
    </w:p>
    <w:p w14:paraId="7AF5E7C8" w14:textId="77777777" w:rsidR="009E2203" w:rsidRPr="009E2203" w:rsidRDefault="009E2203" w:rsidP="009E2203">
      <w:pPr>
        <w:numPr>
          <w:ilvl w:val="0"/>
          <w:numId w:val="14"/>
        </w:numPr>
      </w:pPr>
      <w:r w:rsidRPr="009E2203">
        <w:t>Interpretation:</w:t>
      </w:r>
    </w:p>
    <w:p w14:paraId="46C9E4FB" w14:textId="77777777" w:rsidR="009E2203" w:rsidRPr="009E2203" w:rsidRDefault="009E2203" w:rsidP="009E2203">
      <w:pPr>
        <w:numPr>
          <w:ilvl w:val="1"/>
          <w:numId w:val="14"/>
        </w:numPr>
      </w:pPr>
      <w:r w:rsidRPr="009E2203">
        <w:t>Comment on which states dominate for each country and when (e.g. “China shows mostly weak decoupling after 2000, with occasional expansive negative decoupling episodes.”).</w:t>
      </w:r>
      <w:r w:rsidRPr="009E2203">
        <w:rPr>
          <w:rFonts w:ascii="Arial" w:hAnsi="Arial" w:cs="Arial"/>
        </w:rPr>
        <w:t>​</w:t>
      </w:r>
    </w:p>
    <w:p w14:paraId="4A625EA7" w14:textId="77777777" w:rsidR="009E2203" w:rsidRPr="009E2203" w:rsidRDefault="002036C0" w:rsidP="009E2203">
      <w:r w:rsidRPr="002036C0">
        <w:rPr>
          <w:b/>
          <w:bCs/>
          <w:noProof/>
        </w:rPr>
        <w:pict w14:anchorId="0854CC5C">
          <v:rect id="_x0000_i1028" alt="" style="width:451.3pt;height:.05pt;mso-width-percent:0;mso-height-percent:0;mso-width-percent:0;mso-height-percent:0" o:hralign="center" o:hrstd="t" o:hr="t" fillcolor="#a0a0a0" stroked="f"/>
        </w:pict>
      </w:r>
    </w:p>
    <w:p w14:paraId="3AD614F8" w14:textId="77777777" w:rsidR="009E2203" w:rsidRPr="009E2203" w:rsidRDefault="009E2203" w:rsidP="009E2203">
      <w:pPr>
        <w:rPr>
          <w:b/>
          <w:bCs/>
        </w:rPr>
      </w:pPr>
      <w:r w:rsidRPr="009E2203">
        <w:rPr>
          <w:b/>
          <w:bCs/>
        </w:rPr>
        <w:t>Tapio state frequency table</w:t>
      </w:r>
    </w:p>
    <w:p w14:paraId="12C177D8" w14:textId="77777777" w:rsidR="009E2203" w:rsidRPr="009E2203" w:rsidRDefault="009E2203" w:rsidP="009E2203">
      <w:pPr>
        <w:numPr>
          <w:ilvl w:val="0"/>
          <w:numId w:val="15"/>
        </w:numPr>
      </w:pPr>
      <w:r w:rsidRPr="009E2203">
        <w:t>Describe as:</w:t>
      </w:r>
      <w:r w:rsidRPr="009E2203">
        <w:br/>
        <w:t>“Table X summarises the frequency of each Tapio decoupling state by country, reporting the number and percentage of years spent in each state.”</w:t>
      </w:r>
      <w:r w:rsidRPr="009E2203">
        <w:rPr>
          <w:rFonts w:ascii="Arial" w:hAnsi="Arial" w:cs="Arial"/>
        </w:rPr>
        <w:t>​</w:t>
      </w:r>
    </w:p>
    <w:p w14:paraId="231F6346" w14:textId="77777777" w:rsidR="009E2203" w:rsidRPr="009E2203" w:rsidRDefault="009E2203" w:rsidP="009E2203">
      <w:pPr>
        <w:numPr>
          <w:ilvl w:val="0"/>
          <w:numId w:val="15"/>
        </w:numPr>
      </w:pPr>
      <w:r w:rsidRPr="009E2203">
        <w:t>Interpretation:</w:t>
      </w:r>
    </w:p>
    <w:p w14:paraId="06304B0D" w14:textId="77777777" w:rsidR="009E2203" w:rsidRPr="009E2203" w:rsidRDefault="009E2203" w:rsidP="009E2203">
      <w:pPr>
        <w:numPr>
          <w:ilvl w:val="1"/>
          <w:numId w:val="15"/>
        </w:numPr>
      </w:pPr>
      <w:r w:rsidRPr="009E2203">
        <w:t>Use it to support statements like “Japan spends around a quarter of years in strong decoupling, whereas Indonesia and India spend more years in weak or negative decoupling.”</w:t>
      </w:r>
    </w:p>
    <w:p w14:paraId="05BBE44E" w14:textId="77777777" w:rsidR="009E2203" w:rsidRPr="009E2203" w:rsidRDefault="002036C0" w:rsidP="009E2203">
      <w:r w:rsidRPr="002036C0">
        <w:rPr>
          <w:b/>
          <w:bCs/>
          <w:noProof/>
        </w:rPr>
        <w:pict w14:anchorId="0EBB64DE">
          <v:rect id="_x0000_i1027" alt="" style="width:451.3pt;height:.05pt;mso-width-percent:0;mso-height-percent:0;mso-width-percent:0;mso-height-percent:0" o:hralign="center" o:hrstd="t" o:hr="t" fillcolor="#a0a0a0" stroked="f"/>
        </w:pict>
      </w:r>
    </w:p>
    <w:p w14:paraId="143228C1" w14:textId="77777777" w:rsidR="009E2203" w:rsidRPr="009E2203" w:rsidRDefault="009E2203" w:rsidP="009E2203">
      <w:pPr>
        <w:rPr>
          <w:b/>
          <w:bCs/>
        </w:rPr>
      </w:pPr>
      <w:r w:rsidRPr="009E2203">
        <w:rPr>
          <w:b/>
          <w:bCs/>
        </w:rPr>
        <w:t>Sectoral CO₂ stacked area figure</w:t>
      </w:r>
    </w:p>
    <w:p w14:paraId="635DCB29" w14:textId="77777777" w:rsidR="009E2203" w:rsidRPr="009E2203" w:rsidRDefault="009E2203" w:rsidP="009E2203">
      <w:pPr>
        <w:numPr>
          <w:ilvl w:val="0"/>
          <w:numId w:val="16"/>
        </w:numPr>
      </w:pPr>
      <w:r w:rsidRPr="009E2203">
        <w:t>Describe as:</w:t>
      </w:r>
      <w:r w:rsidRPr="009E2203">
        <w:br/>
        <w:t>“Figure X presents stacked area plots of sectoral CO₂ emissions for each country, showing how the level and composition of emissions evolve by sector from 1973–2023.”</w:t>
      </w:r>
      <w:r w:rsidRPr="009E2203">
        <w:rPr>
          <w:rFonts w:ascii="Arial" w:hAnsi="Arial" w:cs="Arial"/>
        </w:rPr>
        <w:t>​</w:t>
      </w:r>
    </w:p>
    <w:p w14:paraId="2047D9E9" w14:textId="77777777" w:rsidR="009E2203" w:rsidRPr="009E2203" w:rsidRDefault="009E2203" w:rsidP="009E2203">
      <w:pPr>
        <w:numPr>
          <w:ilvl w:val="0"/>
          <w:numId w:val="16"/>
        </w:numPr>
      </w:pPr>
      <w:r w:rsidRPr="009E2203">
        <w:t>Interpretation:</w:t>
      </w:r>
    </w:p>
    <w:p w14:paraId="7F7F7657" w14:textId="77777777" w:rsidR="009E2203" w:rsidRPr="009E2203" w:rsidRDefault="009E2203" w:rsidP="009E2203">
      <w:pPr>
        <w:numPr>
          <w:ilvl w:val="1"/>
          <w:numId w:val="16"/>
        </w:numPr>
      </w:pPr>
      <w:r w:rsidRPr="009E2203">
        <w:lastRenderedPageBreak/>
        <w:t>Point out broad structural shifts (e.g. rising power and industry shares, stabilising or declining some sectors) that may underlie decoupling patterns.</w:t>
      </w:r>
      <w:r w:rsidRPr="009E2203">
        <w:rPr>
          <w:rFonts w:ascii="Arial" w:hAnsi="Arial" w:cs="Arial"/>
        </w:rPr>
        <w:t>​</w:t>
      </w:r>
    </w:p>
    <w:p w14:paraId="57EBD85F" w14:textId="77777777" w:rsidR="009E2203" w:rsidRPr="009E2203" w:rsidRDefault="002036C0" w:rsidP="009E2203">
      <w:r w:rsidRPr="002036C0">
        <w:rPr>
          <w:b/>
          <w:bCs/>
          <w:noProof/>
        </w:rPr>
        <w:pict w14:anchorId="39F69F1A">
          <v:rect id="_x0000_i1026" alt="" style="width:451.3pt;height:.05pt;mso-width-percent:0;mso-height-percent:0;mso-width-percent:0;mso-height-percent:0" o:hralign="center" o:hrstd="t" o:hr="t" fillcolor="#a0a0a0" stroked="f"/>
        </w:pict>
      </w:r>
    </w:p>
    <w:p w14:paraId="0DD89C97" w14:textId="77777777" w:rsidR="009E2203" w:rsidRPr="009E2203" w:rsidRDefault="009E2203" w:rsidP="009E2203">
      <w:pPr>
        <w:rPr>
          <w:b/>
          <w:bCs/>
        </w:rPr>
      </w:pPr>
      <w:r w:rsidRPr="009E2203">
        <w:rPr>
          <w:b/>
          <w:bCs/>
        </w:rPr>
        <w:t>Sector shares in good vs negative decoupling</w:t>
      </w:r>
    </w:p>
    <w:p w14:paraId="655D5AC3" w14:textId="77777777" w:rsidR="009E2203" w:rsidRPr="009E2203" w:rsidRDefault="009E2203" w:rsidP="009E2203">
      <w:pPr>
        <w:numPr>
          <w:ilvl w:val="0"/>
          <w:numId w:val="17"/>
        </w:numPr>
      </w:pPr>
      <w:r w:rsidRPr="009E2203">
        <w:t>Describe as:</w:t>
      </w:r>
      <w:r w:rsidRPr="009E2203">
        <w:br/>
        <w:t>“Figure X compares average sectoral CO₂ shares in ‘good’ decoupling years (strong/weak decoupling) versus ‘negative’ decoupling years (expansive/strong negative) for each country.”</w:t>
      </w:r>
      <w:r w:rsidRPr="009E2203">
        <w:rPr>
          <w:rFonts w:ascii="Arial" w:hAnsi="Arial" w:cs="Arial"/>
        </w:rPr>
        <w:t>​</w:t>
      </w:r>
    </w:p>
    <w:p w14:paraId="496FD9E2" w14:textId="77777777" w:rsidR="009E2203" w:rsidRPr="009E2203" w:rsidRDefault="009E2203" w:rsidP="009E2203">
      <w:pPr>
        <w:numPr>
          <w:ilvl w:val="0"/>
          <w:numId w:val="17"/>
        </w:numPr>
      </w:pPr>
      <w:r w:rsidRPr="009E2203">
        <w:t>Interpretation:</w:t>
      </w:r>
    </w:p>
    <w:p w14:paraId="63069448" w14:textId="77777777" w:rsidR="009E2203" w:rsidRPr="009E2203" w:rsidRDefault="009E2203" w:rsidP="009E2203">
      <w:pPr>
        <w:numPr>
          <w:ilvl w:val="1"/>
          <w:numId w:val="17"/>
        </w:numPr>
      </w:pPr>
      <w:r w:rsidRPr="009E2203">
        <w:t>Highlight qualitative patterns: e.g. “In South Korea, good decoupling years tend to have a slightly lower power</w:t>
      </w:r>
      <w:r w:rsidRPr="009E2203">
        <w:noBreakHyphen/>
        <w:t>sector share and higher processes share compared with negative decoupling years.”</w:t>
      </w:r>
    </w:p>
    <w:p w14:paraId="0E737E8D" w14:textId="77777777" w:rsidR="009E2203" w:rsidRPr="009E2203" w:rsidRDefault="002036C0" w:rsidP="009E2203">
      <w:r w:rsidRPr="002036C0">
        <w:rPr>
          <w:b/>
          <w:bCs/>
          <w:noProof/>
        </w:rPr>
        <w:pict w14:anchorId="1C18710C">
          <v:rect id="_x0000_i1025" alt="" style="width:451.3pt;height:.05pt;mso-width-percent:0;mso-height-percent:0;mso-width-percent:0;mso-height-percent:0" o:hralign="center" o:hrstd="t" o:hr="t" fillcolor="#a0a0a0" stroked="f"/>
        </w:pict>
      </w:r>
    </w:p>
    <w:p w14:paraId="7FCAAC61" w14:textId="77777777" w:rsidR="009E2203" w:rsidRPr="009E2203" w:rsidRDefault="009E2203" w:rsidP="009E2203">
      <w:pPr>
        <w:rPr>
          <w:b/>
          <w:bCs/>
        </w:rPr>
      </w:pPr>
      <w:r w:rsidRPr="009E2203">
        <w:rPr>
          <w:b/>
          <w:bCs/>
        </w:rPr>
        <w:t>Country</w:t>
      </w:r>
      <w:r w:rsidRPr="009E2203">
        <w:rPr>
          <w:b/>
          <w:bCs/>
        </w:rPr>
        <w:noBreakHyphen/>
        <w:t>specific regression tables</w:t>
      </w:r>
    </w:p>
    <w:p w14:paraId="5394C89D" w14:textId="77777777" w:rsidR="009E2203" w:rsidRPr="009E2203" w:rsidRDefault="009E2203" w:rsidP="009E2203">
      <w:r w:rsidRPr="009E2203">
        <w:t>Treat these as one set of results and describe them collectively:</w:t>
      </w:r>
    </w:p>
    <w:p w14:paraId="0DE108F4" w14:textId="77777777" w:rsidR="009E2203" w:rsidRPr="009E2203" w:rsidRDefault="009E2203" w:rsidP="009E2203">
      <w:pPr>
        <w:numPr>
          <w:ilvl w:val="0"/>
          <w:numId w:val="18"/>
        </w:numPr>
      </w:pPr>
      <w:r w:rsidRPr="009E2203">
        <w:t>Methods sentence:</w:t>
      </w:r>
      <w:r w:rsidRPr="009E2203">
        <w:br/>
        <w:t>“To formally test whether sectoral composition is associated with the Tapio decoupling index, separate linear regressions were estimated for each country with the decoupling index as the dependent variable and sectoral CO₂ shares as predictors (Tables Xa–Xe).”</w:t>
      </w:r>
      <w:r w:rsidRPr="009E2203">
        <w:rPr>
          <w:rFonts w:ascii="Arial" w:hAnsi="Arial" w:cs="Arial"/>
        </w:rPr>
        <w:t>​</w:t>
      </w:r>
    </w:p>
    <w:p w14:paraId="0D212AEC" w14:textId="77777777" w:rsidR="009E2203" w:rsidRPr="009E2203" w:rsidRDefault="009E2203" w:rsidP="009E2203">
      <w:pPr>
        <w:numPr>
          <w:ilvl w:val="0"/>
          <w:numId w:val="18"/>
        </w:numPr>
      </w:pPr>
      <w:r w:rsidRPr="009E2203">
        <w:t>Result sentence:</w:t>
      </w:r>
      <w:r w:rsidRPr="009E2203">
        <w:br/>
        <w:t>“Across all five countries, the estimated sector coefficients have large standard errors and p</w:t>
      </w:r>
      <w:r w:rsidRPr="009E2203">
        <w:noBreakHyphen/>
        <w:t>values above conventional significance levels, indicating that, in this simple linear specification and given the available data, variation in sector shares does not show a strong, statistically significant association with the decoupling index.”</w:t>
      </w:r>
      <w:r w:rsidRPr="009E2203">
        <w:rPr>
          <w:rFonts w:ascii="Arial" w:hAnsi="Arial" w:cs="Arial"/>
        </w:rPr>
        <w:t>​</w:t>
      </w:r>
    </w:p>
    <w:p w14:paraId="4C784EA4" w14:textId="77777777" w:rsidR="009E2203" w:rsidRPr="009E2203" w:rsidRDefault="009E2203" w:rsidP="009E2203">
      <w:pPr>
        <w:numPr>
          <w:ilvl w:val="0"/>
          <w:numId w:val="18"/>
        </w:numPr>
      </w:pPr>
      <w:r w:rsidRPr="009E2203">
        <w:t>NA explanation:</w:t>
      </w:r>
      <w:r w:rsidRPr="009E2203">
        <w:br/>
        <w:t>“Some sector rows (e.g. Waste, sometimes Transport) show NA coefficients. These arise where a sector’s share is constant or exactly determined by other shares in that country, making it perfectly collinear and preventing a separate coefficient from being estimated; R automatically drops such aliased predictors from the model.”</w:t>
      </w:r>
    </w:p>
    <w:p w14:paraId="3E6DB82E" w14:textId="77777777" w:rsidR="009E2203" w:rsidRPr="009E2203" w:rsidRDefault="009E2203" w:rsidP="009E2203">
      <w:pPr>
        <w:numPr>
          <w:ilvl w:val="0"/>
          <w:numId w:val="18"/>
        </w:numPr>
      </w:pPr>
      <w:r w:rsidRPr="009E2203">
        <w:t>How to position them:</w:t>
      </w:r>
    </w:p>
    <w:p w14:paraId="123F84F2" w14:textId="77777777" w:rsidR="009E2203" w:rsidRPr="009E2203" w:rsidRDefault="009E2203" w:rsidP="009E2203">
      <w:pPr>
        <w:numPr>
          <w:ilvl w:val="1"/>
          <w:numId w:val="18"/>
        </w:numPr>
      </w:pPr>
      <w:r w:rsidRPr="009E2203">
        <w:t>“These regressions should therefore be interpreted as exploratory checks rather than definitive evidence of sectoral drivers. The main sectoral insights in this report come from descriptive comparisons of sector shares in good versus negative decoupling years (Figure X).”</w:t>
      </w:r>
    </w:p>
    <w:p w14:paraId="6216FA2F" w14:textId="77777777" w:rsidR="009E2203" w:rsidRPr="009E2203" w:rsidRDefault="009E2203"/>
    <w:sectPr w:rsidR="009E2203" w:rsidRPr="009E2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9BF"/>
    <w:multiLevelType w:val="multilevel"/>
    <w:tmpl w:val="CC5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5453F"/>
    <w:multiLevelType w:val="multilevel"/>
    <w:tmpl w:val="A51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E5F59"/>
    <w:multiLevelType w:val="multilevel"/>
    <w:tmpl w:val="68E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E2B4D"/>
    <w:multiLevelType w:val="multilevel"/>
    <w:tmpl w:val="BD3AC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A2308"/>
    <w:multiLevelType w:val="multilevel"/>
    <w:tmpl w:val="51EE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1233B"/>
    <w:multiLevelType w:val="multilevel"/>
    <w:tmpl w:val="A18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94A98"/>
    <w:multiLevelType w:val="multilevel"/>
    <w:tmpl w:val="E8D8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27459"/>
    <w:multiLevelType w:val="multilevel"/>
    <w:tmpl w:val="B3A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F7BEA"/>
    <w:multiLevelType w:val="multilevel"/>
    <w:tmpl w:val="176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80D14"/>
    <w:multiLevelType w:val="multilevel"/>
    <w:tmpl w:val="F2506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34AEC"/>
    <w:multiLevelType w:val="multilevel"/>
    <w:tmpl w:val="E28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70F93"/>
    <w:multiLevelType w:val="multilevel"/>
    <w:tmpl w:val="3EAC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821EF"/>
    <w:multiLevelType w:val="multilevel"/>
    <w:tmpl w:val="0F266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77620"/>
    <w:multiLevelType w:val="multilevel"/>
    <w:tmpl w:val="D286D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42B44"/>
    <w:multiLevelType w:val="multilevel"/>
    <w:tmpl w:val="2208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D2D92"/>
    <w:multiLevelType w:val="multilevel"/>
    <w:tmpl w:val="D9BCA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B227E"/>
    <w:multiLevelType w:val="multilevel"/>
    <w:tmpl w:val="D9448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C6B59"/>
    <w:multiLevelType w:val="multilevel"/>
    <w:tmpl w:val="1990F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188639">
    <w:abstractNumId w:val="0"/>
  </w:num>
  <w:num w:numId="2" w16cid:durableId="811751700">
    <w:abstractNumId w:val="5"/>
  </w:num>
  <w:num w:numId="3" w16cid:durableId="917400568">
    <w:abstractNumId w:val="2"/>
  </w:num>
  <w:num w:numId="4" w16cid:durableId="1480032099">
    <w:abstractNumId w:val="10"/>
  </w:num>
  <w:num w:numId="5" w16cid:durableId="1015039616">
    <w:abstractNumId w:val="8"/>
  </w:num>
  <w:num w:numId="6" w16cid:durableId="966933886">
    <w:abstractNumId w:val="11"/>
  </w:num>
  <w:num w:numId="7" w16cid:durableId="1260680193">
    <w:abstractNumId w:val="4"/>
  </w:num>
  <w:num w:numId="8" w16cid:durableId="142430884">
    <w:abstractNumId w:val="1"/>
  </w:num>
  <w:num w:numId="9" w16cid:durableId="1190994816">
    <w:abstractNumId w:val="7"/>
  </w:num>
  <w:num w:numId="10" w16cid:durableId="718364378">
    <w:abstractNumId w:val="6"/>
  </w:num>
  <w:num w:numId="11" w16cid:durableId="55445596">
    <w:abstractNumId w:val="16"/>
  </w:num>
  <w:num w:numId="12" w16cid:durableId="869224971">
    <w:abstractNumId w:val="15"/>
  </w:num>
  <w:num w:numId="13" w16cid:durableId="1071271124">
    <w:abstractNumId w:val="9"/>
  </w:num>
  <w:num w:numId="14" w16cid:durableId="1856576485">
    <w:abstractNumId w:val="3"/>
  </w:num>
  <w:num w:numId="15" w16cid:durableId="2045865967">
    <w:abstractNumId w:val="13"/>
  </w:num>
  <w:num w:numId="16" w16cid:durableId="843276754">
    <w:abstractNumId w:val="14"/>
  </w:num>
  <w:num w:numId="17" w16cid:durableId="730079886">
    <w:abstractNumId w:val="17"/>
  </w:num>
  <w:num w:numId="18" w16cid:durableId="15407776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85"/>
    <w:rsid w:val="002036C0"/>
    <w:rsid w:val="005C3985"/>
    <w:rsid w:val="005F2BB3"/>
    <w:rsid w:val="009E2203"/>
    <w:rsid w:val="00A6574C"/>
    <w:rsid w:val="00B24E6A"/>
    <w:rsid w:val="00EF7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7B7D"/>
  <w15:chartTrackingRefBased/>
  <w15:docId w15:val="{4CF81F6D-5C50-9B49-A2E9-7A0DF2CA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9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9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9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9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985"/>
    <w:rPr>
      <w:rFonts w:eastAsiaTheme="majorEastAsia" w:cstheme="majorBidi"/>
      <w:color w:val="272727" w:themeColor="text1" w:themeTint="D8"/>
    </w:rPr>
  </w:style>
  <w:style w:type="paragraph" w:styleId="Title">
    <w:name w:val="Title"/>
    <w:basedOn w:val="Normal"/>
    <w:next w:val="Normal"/>
    <w:link w:val="TitleChar"/>
    <w:uiPriority w:val="10"/>
    <w:qFormat/>
    <w:rsid w:val="005C39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9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9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3985"/>
    <w:rPr>
      <w:i/>
      <w:iCs/>
      <w:color w:val="404040" w:themeColor="text1" w:themeTint="BF"/>
    </w:rPr>
  </w:style>
  <w:style w:type="paragraph" w:styleId="ListParagraph">
    <w:name w:val="List Paragraph"/>
    <w:basedOn w:val="Normal"/>
    <w:uiPriority w:val="34"/>
    <w:qFormat/>
    <w:rsid w:val="005C3985"/>
    <w:pPr>
      <w:ind w:left="720"/>
      <w:contextualSpacing/>
    </w:pPr>
  </w:style>
  <w:style w:type="character" w:styleId="IntenseEmphasis">
    <w:name w:val="Intense Emphasis"/>
    <w:basedOn w:val="DefaultParagraphFont"/>
    <w:uiPriority w:val="21"/>
    <w:qFormat/>
    <w:rsid w:val="005C3985"/>
    <w:rPr>
      <w:i/>
      <w:iCs/>
      <w:color w:val="0F4761" w:themeColor="accent1" w:themeShade="BF"/>
    </w:rPr>
  </w:style>
  <w:style w:type="paragraph" w:styleId="IntenseQuote">
    <w:name w:val="Intense Quote"/>
    <w:basedOn w:val="Normal"/>
    <w:next w:val="Normal"/>
    <w:link w:val="IntenseQuoteChar"/>
    <w:uiPriority w:val="30"/>
    <w:qFormat/>
    <w:rsid w:val="005C3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985"/>
    <w:rPr>
      <w:i/>
      <w:iCs/>
      <w:color w:val="0F4761" w:themeColor="accent1" w:themeShade="BF"/>
    </w:rPr>
  </w:style>
  <w:style w:type="character" w:styleId="IntenseReference">
    <w:name w:val="Intense Reference"/>
    <w:basedOn w:val="DefaultParagraphFont"/>
    <w:uiPriority w:val="32"/>
    <w:qFormat/>
    <w:rsid w:val="005C3985"/>
    <w:rPr>
      <w:b/>
      <w:bCs/>
      <w:smallCaps/>
      <w:color w:val="0F4761" w:themeColor="accent1" w:themeShade="BF"/>
      <w:spacing w:val="5"/>
    </w:rPr>
  </w:style>
  <w:style w:type="character" w:styleId="Hyperlink">
    <w:name w:val="Hyperlink"/>
    <w:basedOn w:val="DefaultParagraphFont"/>
    <w:uiPriority w:val="99"/>
    <w:unhideWhenUsed/>
    <w:rsid w:val="005C3985"/>
    <w:rPr>
      <w:color w:val="467886" w:themeColor="hyperlink"/>
      <w:u w:val="single"/>
    </w:rPr>
  </w:style>
  <w:style w:type="character" w:styleId="UnresolvedMention">
    <w:name w:val="Unresolved Mention"/>
    <w:basedOn w:val="DefaultParagraphFont"/>
    <w:uiPriority w:val="99"/>
    <w:semiHidden/>
    <w:unhideWhenUsed/>
    <w:rsid w:val="005C3985"/>
    <w:rPr>
      <w:color w:val="605E5C"/>
      <w:shd w:val="clear" w:color="auto" w:fill="E1DFDD"/>
    </w:rPr>
  </w:style>
  <w:style w:type="character" w:styleId="FollowedHyperlink">
    <w:name w:val="FollowedHyperlink"/>
    <w:basedOn w:val="DefaultParagraphFont"/>
    <w:uiPriority w:val="99"/>
    <w:semiHidden/>
    <w:unhideWhenUsed/>
    <w:rsid w:val="005C39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8-023-45492-7" TargetMode="External"/><Relationship Id="rId3" Type="http://schemas.openxmlformats.org/officeDocument/2006/relationships/settings" Target="settings.xml"/><Relationship Id="rId7" Type="http://schemas.openxmlformats.org/officeDocument/2006/relationships/hyperlink" Target="https://www.researchgate.net/publication/366199503_Research_on_International_Carbon_Emission_Responsibility_Based_on_Tapio_Decoupling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1364032116305184#bib11" TargetMode="External"/><Relationship Id="rId5" Type="http://schemas.openxmlformats.org/officeDocument/2006/relationships/hyperlink" Target="https://pmc.ncbi.nlm.nih.gov/articles/PMC792675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1380</Words>
  <Characters>8201</Characters>
  <Application>Microsoft Office Word</Application>
  <DocSecurity>0</DocSecurity>
  <Lines>143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Kharmarbha</dc:creator>
  <cp:keywords/>
  <dc:description/>
  <cp:lastModifiedBy>Tanmay Kharmarbha</cp:lastModifiedBy>
  <cp:revision>1</cp:revision>
  <dcterms:created xsi:type="dcterms:W3CDTF">2025-12-13T16:56:00Z</dcterms:created>
  <dcterms:modified xsi:type="dcterms:W3CDTF">2025-12-13T18:09:00Z</dcterms:modified>
</cp:coreProperties>
</file>