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測試結果：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單隻水雉(圖一)辨識率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10000次batches:78%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13801次batches:65%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5300次batches:91%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兩隻水雉(圖二)辨識率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10000次batches:89%和68%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13801次batches:86%和60%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5300次batches:81%和57%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辨識之圖片參考下頁圖一及圖二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Python影像辨識筆記(九之四)：可視化YOLOv3訓練過程中的loss、IOU、avg Recall等的曲線圖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640" w:line="379.20000000000005" w:lineRule="auto"/>
        <w:rPr>
          <w:rFonts w:ascii="Georgia" w:cs="Georgia" w:eastAsia="Georgia" w:hAnsi="Georgia"/>
          <w:color w:val="1155cc"/>
          <w:sz w:val="32"/>
          <w:szCs w:val="32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NVIDIA Jetson TX2學習筆記（五）: 安裝matplotlib和pandas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before="980" w:lineRule="auto"/>
        <w:ind w:left="1080" w:righ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@yanweiliu/nvidia-jetson-tx2%E5%AD%B8%E7%BF%92%E7%AD%86%E8%A8%98-%E4%BA%94-%E5%AE%89%E8%A3%9Dmatplotlib%E5%92%8Cpandas-d8b274034fb2" TargetMode="External"/><Relationship Id="rId9" Type="http://schemas.openxmlformats.org/officeDocument/2006/relationships/hyperlink" Target="https://medium.com/@yanweiliu/python%E5%BD%B1%E5%83%8F%E8%BE%A8%E8%AD%98%E7%AD%86%E8%A8%98-%E4%B9%9D%E4%B9%8B%E5%9B%9B-%E5%8F%AF%E8%A6%96%E5%8C%96yolov3%E8%A8%93%E7%B7%B4%E9%81%8E%E7%A8%8B%E4%B8%AD%E7%9A%84loss-iou-avg-recall%E7%AD%89%E7%9A%84%E6%9B%B2%E7%B7%9A%E5%9C%96-ef3d36daa5ec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