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A440A" w14:textId="6FD16D38" w:rsidR="00F73B99" w:rsidRPr="00F73B99" w:rsidRDefault="00F73B99" w:rsidP="0049230A">
      <w:pPr>
        <w:pStyle w:val="Heading1"/>
        <w:jc w:val="center"/>
        <w:rPr>
          <w:rFonts w:eastAsia="Times New Roman"/>
        </w:rPr>
      </w:pPr>
      <w:r w:rsidRPr="00F73B99">
        <w:t>Zusammenfassung</w:t>
      </w:r>
    </w:p>
    <w:p w14:paraId="1A212FCB" w14:textId="77777777" w:rsidR="007A13D0" w:rsidRPr="00641229" w:rsidRDefault="006E6567" w:rsidP="00F73B99">
      <w:pPr>
        <w:spacing w:before="100" w:beforeAutospacing="1" w:after="100" w:afterAutospacing="1"/>
        <w:rPr>
          <w:rFonts w:asciiTheme="majorHAnsi" w:eastAsia="Times New Roman" w:hAnsiTheme="majorHAnsi" w:cstheme="majorHAnsi"/>
        </w:rPr>
      </w:pPr>
      <w:r w:rsidRPr="00641229">
        <w:rPr>
          <w:rFonts w:asciiTheme="majorHAnsi" w:hAnsiTheme="majorHAnsi" w:cstheme="majorHAnsi"/>
        </w:rPr>
        <w:t>ecomx ist ein blockchain-Protokoll, das von eComX.org betrieben wird und einen hocheffizienten eCommerce ohne Vermittler und zu deutlich reduzierten Kosten ermöglicht.</w:t>
      </w:r>
    </w:p>
    <w:p w14:paraId="0633317A" w14:textId="22E900EF" w:rsidR="00F73B99" w:rsidRPr="00641229" w:rsidRDefault="00F73B99" w:rsidP="00F73B99">
      <w:pPr>
        <w:spacing w:before="100" w:beforeAutospacing="1" w:after="100" w:afterAutospacing="1"/>
        <w:rPr>
          <w:rFonts w:asciiTheme="majorHAnsi" w:eastAsia="Times New Roman" w:hAnsiTheme="majorHAnsi" w:cstheme="majorHAnsi"/>
        </w:rPr>
      </w:pPr>
      <w:r w:rsidRPr="00641229">
        <w:rPr>
          <w:rFonts w:asciiTheme="majorHAnsi" w:hAnsiTheme="majorHAnsi" w:cstheme="majorHAnsi"/>
        </w:rPr>
        <w:t>eComX.org existiert als dezentralisierte autonome Organisation, um das Problem der Interoperabilität zwischen bestehenden zentralisierten eCommerce-Infrastrukturen und ecomx und unter einer Reihe von blockketten und ecomx zu lösen. Ein weiteres Problem, das gelöst wird, ist die Frage der Skalierbarkeit, auf die wir glauben, dass ecomx Parallel-Computing-Ansatz durch ecomx optimierte blockchain die Antwort ist.</w:t>
      </w:r>
    </w:p>
    <w:p w14:paraId="74FDC7AB" w14:textId="77777777" w:rsidR="00975E38" w:rsidRPr="00641229" w:rsidRDefault="00975E38" w:rsidP="00F73B99">
      <w:pPr>
        <w:spacing w:before="100" w:beforeAutospacing="1" w:after="100" w:afterAutospacing="1"/>
        <w:rPr>
          <w:rFonts w:asciiTheme="majorHAnsi" w:eastAsia="Times New Roman" w:hAnsiTheme="majorHAnsi" w:cstheme="majorHAnsi"/>
        </w:rPr>
      </w:pPr>
      <w:r w:rsidRPr="00641229">
        <w:rPr>
          <w:rFonts w:asciiTheme="majorHAnsi" w:hAnsiTheme="majorHAnsi" w:cstheme="majorHAnsi"/>
        </w:rPr>
        <w:t>Die Lösung besteht darin, ein neues eCommerce-Modell auf der Grundlage von Kooperation und Vertrauen aufzubauen. Erst mit der Entstehung von blockchain als Vertrauens Technologie wurde die absolute Zusammenarbeit aller Begünstigten möglich. Nicht nur die blockchain eliminiert die Frage eines zentralisierten Vermittlers für alle Transaktionen, sondern macht auch das Problem der vertrauensvollen Zusammenarbeit programmierbar, völlig unabhängig und frei von menschlichen Vorurteilen.</w:t>
      </w:r>
    </w:p>
    <w:p w14:paraId="46E1EDB9" w14:textId="181E6F71" w:rsidR="00975E38" w:rsidRPr="00641229" w:rsidRDefault="005A21DD" w:rsidP="00975E38">
      <w:pPr>
        <w:spacing w:before="100" w:beforeAutospacing="1" w:after="100" w:afterAutospacing="1"/>
        <w:rPr>
          <w:rFonts w:asciiTheme="majorHAnsi" w:eastAsia="Times New Roman" w:hAnsiTheme="majorHAnsi" w:cstheme="majorHAnsi"/>
        </w:rPr>
      </w:pPr>
      <w:r w:rsidRPr="00641229">
        <w:rPr>
          <w:rFonts w:asciiTheme="majorHAnsi" w:hAnsiTheme="majorHAnsi" w:cstheme="majorHAnsi"/>
        </w:rPr>
        <w:t>Es gibt viele Zahnräder, die eCommerce bewegen lässt, und zu diesem Zeitpunkt basieren zu viele von Ihnen auf zentralisierten Systemen, Prozessen und Datenbanken. Es ist klar, dass der eCommerce damit beginnen muss, diese Prozesse, Systeme und Datensätze auf eine blockchain zu verlagern. Die ecomx Wrapper/Transport Utility Token wurde entwickelt, um die Bewegung dieser Off-Chain-Objekte in die ecomx-blockchain zu erleichtern, indem Sie die ursprüngliche Datenstruktur der Objekte einkapseln und ihre Werte, Daten und Zustände kartografieren, die für intelligente Verträge benötigt werden</w:t>
      </w:r>
      <w:proofErr w:type="gramStart"/>
      <w:r w:rsidRPr="00641229">
        <w:rPr>
          <w:rFonts w:asciiTheme="majorHAnsi" w:hAnsiTheme="majorHAnsi" w:cstheme="majorHAnsi"/>
        </w:rPr>
        <w:t>. ,</w:t>
      </w:r>
      <w:proofErr w:type="gramEnd"/>
      <w:r w:rsidRPr="00641229">
        <w:rPr>
          <w:rFonts w:asciiTheme="majorHAnsi" w:hAnsiTheme="majorHAnsi" w:cstheme="majorHAnsi"/>
        </w:rPr>
        <w:t xml:space="preserve"> in der blockchain, um rechnerische Anweisungen zu erfüllen.</w:t>
      </w:r>
    </w:p>
    <w:p w14:paraId="64699CC2" w14:textId="77777777" w:rsidR="00866D68" w:rsidRPr="00641229" w:rsidRDefault="007B3EB4" w:rsidP="00F73B99">
      <w:pPr>
        <w:spacing w:before="100" w:beforeAutospacing="1" w:after="100" w:afterAutospacing="1"/>
        <w:rPr>
          <w:rFonts w:asciiTheme="majorHAnsi" w:eastAsia="Times New Roman" w:hAnsiTheme="majorHAnsi" w:cstheme="majorHAnsi"/>
        </w:rPr>
      </w:pPr>
      <w:r w:rsidRPr="00641229">
        <w:rPr>
          <w:rFonts w:asciiTheme="majorHAnsi" w:hAnsiTheme="majorHAnsi" w:cstheme="majorHAnsi"/>
        </w:rPr>
        <w:t xml:space="preserve">Zum Beispiel stellt das Internet der Dinge (IOT) neue Möglichkeiten dar, aber Interoperabilität und Skalierbarkeit bleiben große Probleme.  Ein weiterer Trend, den es zu betrachten gilt, ist, wie Unternehmen blockchain nutzen, um alte Methoden und interne Prozesse zu verbessern. </w:t>
      </w:r>
    </w:p>
    <w:p w14:paraId="42AFB46A" w14:textId="089CA39F" w:rsidR="005A21DD" w:rsidRPr="00641229" w:rsidRDefault="00B868E7" w:rsidP="00F73B99">
      <w:pPr>
        <w:spacing w:before="100" w:beforeAutospacing="1" w:after="100" w:afterAutospacing="1"/>
        <w:rPr>
          <w:rFonts w:asciiTheme="majorHAnsi" w:eastAsia="Times New Roman" w:hAnsiTheme="majorHAnsi" w:cstheme="majorHAnsi"/>
        </w:rPr>
      </w:pPr>
      <w:r w:rsidRPr="00641229">
        <w:rPr>
          <w:rFonts w:asciiTheme="majorHAnsi" w:hAnsiTheme="majorHAnsi" w:cstheme="majorHAnsi"/>
        </w:rPr>
        <w:t xml:space="preserve">ecomx stellt einen Paradigmenwechsel zum eCommerce dar. Als Transformations Bewegung ist eComX.org die Infrastruktur und die ecomx-blockchain ist das Vehikel. eComX.org bietet eine Vertrauens Infrastruktur, in der alle Parteien zusammenarbeiten, indem Sie wissen, Prozesse und Software mit anderen Mitgliedern aufbauen und austauschen. Als DAO wird eComX.org beispielsweise von Ausschüssen geleitet, die von ecomx-Mitgliedern, Partnern und Gründern ins Amt gewählt </w:t>
      </w:r>
      <w:proofErr w:type="gramStart"/>
      <w:r w:rsidRPr="00641229">
        <w:rPr>
          <w:rFonts w:asciiTheme="majorHAnsi" w:hAnsiTheme="majorHAnsi" w:cstheme="majorHAnsi"/>
        </w:rPr>
        <w:t>werden.Die</w:t>
      </w:r>
      <w:proofErr w:type="gramEnd"/>
      <w:r w:rsidRPr="00641229">
        <w:rPr>
          <w:rFonts w:asciiTheme="majorHAnsi" w:hAnsiTheme="majorHAnsi" w:cstheme="majorHAnsi"/>
        </w:rPr>
        <w:t xml:space="preserve"> Mitglieder können neue Projekte vorschlagen oder über bestehende </w:t>
      </w:r>
      <w:r w:rsidRPr="00641229">
        <w:rPr>
          <w:rFonts w:asciiTheme="majorHAnsi" w:hAnsiTheme="majorHAnsi" w:cstheme="majorHAnsi"/>
        </w:rPr>
        <w:lastRenderedPageBreak/>
        <w:t>abstimmen, und Partner können die ecomx-Software-Bibliothek und-Ressourcen nutzen, um neue dapps und intelligente Verträge zu erstellen, um ecomx weiterhin besser zu machen.</w:t>
      </w:r>
    </w:p>
    <w:p w14:paraId="69A91C99" w14:textId="77777777" w:rsidR="00F73B99" w:rsidRPr="00641229" w:rsidRDefault="00F73B99" w:rsidP="00F73B99">
      <w:pPr>
        <w:spacing w:before="100" w:beforeAutospacing="1" w:after="100" w:afterAutospacing="1"/>
        <w:rPr>
          <w:rFonts w:asciiTheme="majorHAnsi" w:eastAsia="Times New Roman" w:hAnsiTheme="majorHAnsi" w:cstheme="majorHAnsi"/>
        </w:rPr>
      </w:pPr>
      <w:r w:rsidRPr="00641229">
        <w:rPr>
          <w:rFonts w:asciiTheme="majorHAnsi" w:hAnsiTheme="majorHAnsi" w:cstheme="majorHAnsi"/>
        </w:rPr>
        <w:t>Das Endergebnis ist eine Plattform, die in der Lage ist, alle erforderlichen Funktionen traditioneller zentralisierter eCommerce-Systeme zu erfüllen, aber in einer verteilten und effizienteren Weise und zu wesentlich niedrigeren Kosten.</w:t>
      </w:r>
    </w:p>
    <w:p w14:paraId="17BB0E79" w14:textId="77777777" w:rsidR="000F2944" w:rsidRPr="00641229" w:rsidRDefault="000F2944" w:rsidP="00F73B99">
      <w:pPr>
        <w:spacing w:before="100" w:beforeAutospacing="1" w:after="100" w:afterAutospacing="1"/>
        <w:rPr>
          <w:rFonts w:asciiTheme="majorHAnsi" w:eastAsia="Times New Roman" w:hAnsiTheme="majorHAnsi" w:cstheme="majorHAnsi"/>
        </w:rPr>
      </w:pPr>
      <w:r w:rsidRPr="00641229">
        <w:rPr>
          <w:rFonts w:asciiTheme="majorHAnsi" w:hAnsiTheme="majorHAnsi" w:cstheme="majorHAnsi"/>
        </w:rPr>
        <w:t>ecomx nutzt einen Hybriden Konsens Mechanismus, der es sowohl den Pow als auch den POS-Blöcken auf verteilten Netzwerkknoten ermöglicht, um die Belohnungen zu konkurrieren und so eine maximale Leistung durch paralleles Computing zu erzielen.</w:t>
      </w:r>
    </w:p>
    <w:p w14:paraId="7E26F937" w14:textId="72CD8FFB" w:rsidR="000F2944" w:rsidRPr="00641229" w:rsidRDefault="000F2944" w:rsidP="00F73B99">
      <w:pPr>
        <w:spacing w:before="100" w:beforeAutospacing="1" w:after="100" w:afterAutospacing="1"/>
        <w:rPr>
          <w:rFonts w:asciiTheme="majorHAnsi" w:eastAsia="Times New Roman" w:hAnsiTheme="majorHAnsi" w:cstheme="majorHAnsi"/>
        </w:rPr>
      </w:pPr>
      <w:r w:rsidRPr="00641229">
        <w:rPr>
          <w:rFonts w:asciiTheme="majorHAnsi" w:hAnsiTheme="majorHAnsi" w:cstheme="majorHAnsi"/>
        </w:rPr>
        <w:t>Der ecomx. Welt Markt kann Krypto-und Fiat-Währungen gleichermaßen verarbeiten.  Die Technologie kann derzeit 11 Fiat und 4 Krypto-Währungen unterstützen, und es wird weiterhin zusätzliche, Überstunden hinzufügen.</w:t>
      </w:r>
    </w:p>
    <w:p w14:paraId="3833BB33" w14:textId="77777777" w:rsidR="00AD67AC" w:rsidRPr="00641229" w:rsidRDefault="00AD67AC" w:rsidP="00AD67AC">
      <w:pPr>
        <w:spacing w:before="100" w:beforeAutospacing="1" w:after="100" w:afterAutospacing="1"/>
        <w:rPr>
          <w:rFonts w:asciiTheme="majorHAnsi" w:eastAsia="Times New Roman" w:hAnsiTheme="majorHAnsi" w:cstheme="majorHAnsi"/>
        </w:rPr>
      </w:pPr>
      <w:r w:rsidRPr="00641229">
        <w:rPr>
          <w:rFonts w:asciiTheme="majorHAnsi" w:hAnsiTheme="majorHAnsi" w:cstheme="majorHAnsi"/>
        </w:rPr>
        <w:t xml:space="preserve">ecomx implementiert seine eigene Version von Turing-Complete Virtual Machine EVM, im Gegensatz zur Verwendung von ethereums VM für die Verarbeitung. Der Grund dafür ist, dass das ethereum VM quasi Turing-komplett ist, da die Ausführung darauf angewiesen ist, dass genug Gas für Knoten im Netzwerk reserviert </w:t>
      </w:r>
      <w:proofErr w:type="gramStart"/>
      <w:r w:rsidRPr="00641229">
        <w:rPr>
          <w:rFonts w:asciiTheme="majorHAnsi" w:hAnsiTheme="majorHAnsi" w:cstheme="majorHAnsi"/>
        </w:rPr>
        <w:t>ist.Das</w:t>
      </w:r>
      <w:proofErr w:type="gramEnd"/>
      <w:r w:rsidRPr="00641229">
        <w:rPr>
          <w:rFonts w:asciiTheme="majorHAnsi" w:hAnsiTheme="majorHAnsi" w:cstheme="majorHAnsi"/>
        </w:rPr>
        <w:t xml:space="preserve"> ist ein inhärenter Engpass, den ecomx mit einer eigenen optimierten VM löst.</w:t>
      </w:r>
    </w:p>
    <w:p w14:paraId="33A1760F" w14:textId="6D583A29" w:rsidR="00F73B99" w:rsidRPr="00641229" w:rsidRDefault="00F73B99" w:rsidP="00F73B99">
      <w:pPr>
        <w:spacing w:before="100" w:beforeAutospacing="1" w:after="100" w:afterAutospacing="1"/>
        <w:rPr>
          <w:rFonts w:asciiTheme="majorHAnsi" w:eastAsia="Times New Roman" w:hAnsiTheme="majorHAnsi" w:cstheme="majorHAnsi"/>
        </w:rPr>
      </w:pPr>
      <w:r w:rsidRPr="00641229">
        <w:rPr>
          <w:rFonts w:asciiTheme="majorHAnsi" w:hAnsiTheme="majorHAnsi" w:cstheme="majorHAnsi"/>
        </w:rPr>
        <w:t>Wir haben den Konzeptnachweis abgeschlossen, der den Nachweis des Konzepts für mehrere Ereignis Schieß Mechanismen für intelligente Verträge, ecomx-Transport und-Wrapper für Objekte über verschiedene blockketten und externe Objekte, intelligente Verträge als Schnittstellen zu globale Marktplätze, hybrider Konsens und paralleles Computing.</w:t>
      </w:r>
    </w:p>
    <w:p w14:paraId="543AF1D1" w14:textId="77777777" w:rsidR="00F73B99" w:rsidRPr="00641229" w:rsidRDefault="00F73B99" w:rsidP="00F73B99">
      <w:pPr>
        <w:spacing w:before="100" w:beforeAutospacing="1" w:after="100" w:afterAutospacing="1"/>
        <w:rPr>
          <w:rFonts w:asciiTheme="majorHAnsi" w:eastAsia="Times New Roman" w:hAnsiTheme="majorHAnsi" w:cstheme="majorHAnsi"/>
        </w:rPr>
      </w:pPr>
      <w:r w:rsidRPr="00641229">
        <w:rPr>
          <w:rFonts w:asciiTheme="majorHAnsi" w:hAnsiTheme="majorHAnsi" w:cstheme="majorHAnsi"/>
        </w:rPr>
        <w:t>eComX.org wird die DAO-Komitees nutzen, um die Teilnahme an Forschung und Entwicklung und den Wissensaustausch durch Universitäten, Nutzergemeinschaften, Investment Gemeinschaften, Bergarbeiter-Teilnehmer Gemeinschaften, Marktplätze, Logistik, Erfüllung, Payment Gateways kontinuierlich zu fördern. Etc.</w:t>
      </w:r>
    </w:p>
    <w:p w14:paraId="745BCCFE" w14:textId="5CF434B2" w:rsidR="00FC7E1D" w:rsidRPr="00641229" w:rsidRDefault="00F73B99" w:rsidP="00F73B99">
      <w:pPr>
        <w:spacing w:before="100" w:beforeAutospacing="1" w:after="100" w:afterAutospacing="1"/>
        <w:rPr>
          <w:rFonts w:asciiTheme="majorHAnsi" w:eastAsia="Times New Roman" w:hAnsiTheme="majorHAnsi" w:cstheme="majorHAnsi"/>
        </w:rPr>
      </w:pPr>
      <w:r w:rsidRPr="00641229">
        <w:rPr>
          <w:rFonts w:asciiTheme="majorHAnsi" w:hAnsiTheme="majorHAnsi" w:cstheme="majorHAnsi"/>
        </w:rPr>
        <w:t>die ecomx Corporation erwartet, dass Sie die ecomx-Token-Vorverkaufs Kampagne, eComX.org DAO Registration, abschließen wird.Bis zum Ende des vierten Quartals 2018 planen wir, den grenzüberschreitenden Welt Markt ecomx zu veröffentlichen und den Betrieb des ecomx DAO aufzunehmen.Bis zum Ende des zweiten Quartals 2019 können wir erwarten, dass das ecomx Main-net Live geht, und bis Ende 2019 erwarten wir ein Ziel von mehr als $500 Millionen USD in eCommerce-bezogenen Transaktionen, die in ecomx abgewickelt werden.</w:t>
      </w:r>
    </w:p>
    <w:p w14:paraId="00D425F6" w14:textId="631C61E7" w:rsidR="00F73B99" w:rsidRPr="00641229" w:rsidRDefault="00442150" w:rsidP="00F73B99">
      <w:pPr>
        <w:spacing w:before="100" w:beforeAutospacing="1" w:after="100" w:afterAutospacing="1"/>
        <w:rPr>
          <w:rFonts w:asciiTheme="majorHAnsi" w:eastAsia="Times New Roman" w:hAnsiTheme="majorHAnsi" w:cstheme="majorHAnsi"/>
        </w:rPr>
      </w:pPr>
      <w:r w:rsidRPr="00641229">
        <w:rPr>
          <w:rFonts w:asciiTheme="majorHAnsi" w:hAnsiTheme="majorHAnsi" w:cstheme="majorHAnsi"/>
        </w:rPr>
        <w:lastRenderedPageBreak/>
        <w:t>Bis Ende 2020 hat ecomx das Ziel, mehr als 2 Milliarden USD an e-Commerce-Transaktionen zu haben, die im ecomx-blockchain-Netzwerk und bis Ende 2021 laufen, da mehr große Marktplätze auf der ganzen Welt beginnen, die ecomx-blockchain-Technologie zu nutzen, ecomx erwartet, dass diese Schätzung um 10X steigt.</w:t>
      </w:r>
    </w:p>
    <w:p w14:paraId="65C1013E" w14:textId="7DEBF4ED" w:rsidR="00873EA5" w:rsidRPr="00641229" w:rsidRDefault="00FC0C23" w:rsidP="00F73B99">
      <w:pPr>
        <w:spacing w:before="100" w:beforeAutospacing="1" w:after="100" w:afterAutospacing="1"/>
        <w:rPr>
          <w:rFonts w:asciiTheme="majorHAnsi" w:eastAsia="Times New Roman" w:hAnsiTheme="majorHAnsi" w:cstheme="majorHAnsi"/>
        </w:rPr>
      </w:pPr>
      <w:r w:rsidRPr="00641229">
        <w:rPr>
          <w:rFonts w:asciiTheme="majorHAnsi" w:hAnsiTheme="majorHAnsi" w:cstheme="majorHAnsi"/>
        </w:rPr>
        <w:t>Um weiterhin unabhängig zu bleiben (keine Kontrolle durch irgendjemanden Partner, Marktplatz, etc.), wird der eComX.org DAO Übergang von einer quasi-unabhängigen Organisation zu einer vollständig autonomen sein. Dies wird getan, um sicherzustellen, dass in seinem frühen Stadium der Entwicklung, die Organisation weiterhin den Kurs vor, um ecomx als Öffentlichkeit und offen für alle blockchain-Infrastruktur für die Krypto-eCommerce-Wirtschaft des Internets der Werte zu liefern.</w:t>
      </w:r>
    </w:p>
    <w:p w14:paraId="7AC564F1" w14:textId="439F90AD" w:rsidR="0049230A" w:rsidRPr="00641229" w:rsidRDefault="00FC7E1D" w:rsidP="0049230A">
      <w:pPr>
        <w:spacing w:before="100" w:beforeAutospacing="1" w:after="100" w:afterAutospacing="1"/>
        <w:rPr>
          <w:rFonts w:asciiTheme="majorHAnsi" w:eastAsia="Times New Roman" w:hAnsiTheme="majorHAnsi" w:cstheme="majorHAnsi"/>
        </w:rPr>
      </w:pPr>
      <w:r w:rsidRPr="00641229">
        <w:rPr>
          <w:rFonts w:asciiTheme="majorHAnsi" w:hAnsiTheme="majorHAnsi" w:cstheme="majorHAnsi"/>
        </w:rPr>
        <w:t>Die ecomx-blockchain wird durch ecomx-Token angeheizt. Sie werden verwendet, um externe Objekte in und aus der ecomx-blockchain zu wickeln und zu transportieren, als Cross-Chain-Schnittstellen, als Gas für unsere parallelen Computing-Knoten und als Belohnungen für zukünftige Loyalitätsprogramme.</w:t>
      </w:r>
    </w:p>
    <w:p w14:paraId="74C2D30E" w14:textId="66C06B1E" w:rsidR="0049230A" w:rsidRPr="00641229" w:rsidRDefault="0049230A" w:rsidP="0049230A">
      <w:pPr>
        <w:rPr>
          <w:rFonts w:asciiTheme="majorHAnsi" w:hAnsiTheme="majorHAnsi" w:cstheme="majorHAnsi"/>
        </w:rPr>
      </w:pPr>
      <w:r w:rsidRPr="00641229">
        <w:rPr>
          <w:rFonts w:asciiTheme="majorHAnsi" w:hAnsiTheme="majorHAnsi" w:cstheme="majorHAnsi"/>
        </w:rPr>
        <w:t>ecomx Fund Raising</w:t>
      </w:r>
    </w:p>
    <w:p w14:paraId="7EDA5960" w14:textId="77777777" w:rsidR="0049230A" w:rsidRPr="00641229" w:rsidRDefault="0049230A" w:rsidP="0049230A">
      <w:pPr>
        <w:rPr>
          <w:rFonts w:asciiTheme="majorHAnsi" w:hAnsiTheme="majorHAnsi" w:cstheme="majorHAnsi"/>
        </w:rPr>
      </w:pPr>
    </w:p>
    <w:p w14:paraId="72A00768" w14:textId="004921AA" w:rsidR="0049230A" w:rsidRPr="00641229" w:rsidRDefault="0049230A" w:rsidP="0049230A">
      <w:pPr>
        <w:rPr>
          <w:rFonts w:asciiTheme="majorHAnsi" w:hAnsiTheme="majorHAnsi" w:cstheme="majorHAnsi"/>
          <w:spacing w:val="-1"/>
        </w:rPr>
      </w:pPr>
      <w:r w:rsidRPr="00641229">
        <w:rPr>
          <w:rFonts w:asciiTheme="majorHAnsi" w:hAnsiTheme="majorHAnsi" w:cstheme="majorHAnsi"/>
        </w:rPr>
        <w:t>Seit der Gründung von ecomx hat die Organisation ihre Infrastruktur in aller Stille erneuert und baut.Bei all den Zweifeln an der blockchain-Technologie haben wir einen Markt für Krypto-eCommerce auf der realen Welt veröffentlicht, unser "Dapp Store Marketplace" ist nun für die Öffentlichkeit zugänglich, und unsere f &amp; e-Arbeit in der Interoperabilität, der ecomx-blockchain und dem parallelen Computing bewegt sich Vor.Wir bereiten uns darauf vor, eines der ersten blockchain-Unternehmen zu sein, das in der realen Krypto-eCommerce-Wirtschaft einen Spritzer macht und die Absicht hat, durch echte Lösungen für Menschen und Organisationen auf der ganzen Welt zu führen.</w:t>
      </w:r>
    </w:p>
    <w:p w14:paraId="109D140F" w14:textId="751737BF" w:rsidR="0049230A" w:rsidRPr="00641229" w:rsidRDefault="0049230A" w:rsidP="0049230A">
      <w:pPr>
        <w:rPr>
          <w:rFonts w:asciiTheme="majorHAnsi" w:hAnsiTheme="majorHAnsi" w:cstheme="majorHAnsi"/>
          <w:spacing w:val="-1"/>
        </w:rPr>
      </w:pPr>
    </w:p>
    <w:p w14:paraId="16C2A0B8" w14:textId="5B7E065A" w:rsidR="0049230A" w:rsidRPr="00641229" w:rsidRDefault="0049230A" w:rsidP="0049230A">
      <w:pPr>
        <w:rPr>
          <w:rFonts w:asciiTheme="majorHAnsi" w:hAnsiTheme="majorHAnsi" w:cstheme="majorHAnsi"/>
          <w:shd w:val="clear" w:color="auto" w:fill="FFFFFF"/>
        </w:rPr>
      </w:pPr>
      <w:r w:rsidRPr="00641229">
        <w:rPr>
          <w:rFonts w:asciiTheme="majorHAnsi" w:hAnsiTheme="majorHAnsi" w:cstheme="majorHAnsi"/>
        </w:rPr>
        <w:t>Um die Entwicklung fortzusetzen, muss ecomx dringend benötigtes Kapital aufbringen, um die Entwicklung fortzusetzen.</w:t>
      </w:r>
    </w:p>
    <w:p w14:paraId="74ADE1D2" w14:textId="6DA3148F" w:rsidR="00407A00" w:rsidRPr="00641229" w:rsidRDefault="00407A00" w:rsidP="00407A00">
      <w:pPr>
        <w:rPr>
          <w:rFonts w:asciiTheme="majorHAnsi" w:hAnsiTheme="majorHAnsi" w:cstheme="majorHAnsi"/>
        </w:rPr>
      </w:pPr>
      <w:bookmarkStart w:id="0" w:name="_Toc523685951"/>
    </w:p>
    <w:bookmarkEnd w:id="0"/>
    <w:p w14:paraId="46CC7EC3" w14:textId="77777777" w:rsidR="00102688" w:rsidRPr="00641229" w:rsidRDefault="00FE476E" w:rsidP="00102688">
      <w:pPr>
        <w:rPr>
          <w:rFonts w:asciiTheme="majorHAnsi" w:hAnsiTheme="majorHAnsi" w:cstheme="majorHAnsi"/>
        </w:rPr>
      </w:pPr>
      <w:r w:rsidRPr="00641229">
        <w:rPr>
          <w:rFonts w:asciiTheme="majorHAnsi" w:hAnsiTheme="majorHAnsi" w:cstheme="majorHAnsi"/>
        </w:rPr>
        <w:fldChar w:fldCharType="begin"/>
      </w:r>
      <w:r w:rsidRPr="00641229">
        <w:rPr>
          <w:rFonts w:asciiTheme="majorHAnsi" w:hAnsiTheme="majorHAnsi" w:cstheme="majorHAnsi"/>
        </w:rPr>
        <w:instrText xml:space="preserve"> HYPERLINK "http://www.eComX.world" </w:instrText>
      </w:r>
      <w:r w:rsidRPr="00641229">
        <w:rPr>
          <w:rFonts w:asciiTheme="majorHAnsi" w:hAnsiTheme="majorHAnsi" w:cstheme="majorHAnsi"/>
        </w:rPr>
        <w:fldChar w:fldCharType="separate"/>
      </w:r>
      <w:r w:rsidRPr="00641229">
        <w:rPr>
          <w:rFonts w:asciiTheme="majorHAnsi" w:hAnsiTheme="majorHAnsi" w:cstheme="majorHAnsi"/>
        </w:rPr>
        <w:fldChar w:fldCharType="end"/>
      </w:r>
      <w:proofErr w:type="spellStart"/>
      <w:r w:rsidR="00102688" w:rsidRPr="00641229">
        <w:rPr>
          <w:rFonts w:asciiTheme="majorHAnsi" w:hAnsiTheme="majorHAnsi" w:cstheme="majorHAnsi"/>
        </w:rPr>
        <w:t>ecomx</w:t>
      </w:r>
      <w:proofErr w:type="spellEnd"/>
      <w:r w:rsidR="00102688" w:rsidRPr="00641229">
        <w:rPr>
          <w:rFonts w:asciiTheme="majorHAnsi" w:hAnsiTheme="majorHAnsi" w:cstheme="majorHAnsi"/>
        </w:rPr>
        <w:t xml:space="preserve"> hat seine </w:t>
      </w:r>
      <w:proofErr w:type="spellStart"/>
      <w:r w:rsidR="00102688" w:rsidRPr="00641229">
        <w:rPr>
          <w:rFonts w:asciiTheme="majorHAnsi" w:hAnsiTheme="majorHAnsi" w:cstheme="majorHAnsi"/>
        </w:rPr>
        <w:t>weiche</w:t>
      </w:r>
      <w:proofErr w:type="spellEnd"/>
      <w:r w:rsidR="00102688" w:rsidRPr="00641229">
        <w:rPr>
          <w:rFonts w:asciiTheme="majorHAnsi" w:hAnsiTheme="majorHAnsi" w:cstheme="majorHAnsi"/>
        </w:rPr>
        <w:t xml:space="preserve"> Kappe mit früheren Investitionen von Gründern, Freunden und Familie erfüllt und hat die Projektstruktur, Whitepaper, veröffentlicht den Fiat und Crypto eCommerce Marketplace, </w:t>
      </w:r>
      <w:r w:rsidR="00102688" w:rsidRPr="00641229">
        <w:rPr>
          <w:rStyle w:val="Hyperlink"/>
          <w:rFonts w:asciiTheme="majorHAnsi" w:hAnsiTheme="majorHAnsi" w:cstheme="majorHAnsi"/>
        </w:rPr>
        <w:t>www.eComX.world</w:t>
      </w:r>
      <w:r w:rsidR="00102688" w:rsidRPr="00641229">
        <w:rPr>
          <w:rFonts w:asciiTheme="majorHAnsi" w:hAnsiTheme="majorHAnsi" w:cstheme="majorHAnsi"/>
        </w:rPr>
        <w:t>, und es hat den ecomx "Dapp Store" veröffentlicht, zusammen mit einigen anderen Meilensteinen.</w:t>
      </w:r>
    </w:p>
    <w:p w14:paraId="2E27E14C" w14:textId="77777777" w:rsidR="00102688" w:rsidRPr="00641229" w:rsidRDefault="00102688" w:rsidP="00102688">
      <w:pPr>
        <w:rPr>
          <w:rFonts w:asciiTheme="majorHAnsi" w:hAnsiTheme="majorHAnsi" w:cstheme="majorHAnsi"/>
        </w:rPr>
      </w:pPr>
    </w:p>
    <w:p w14:paraId="4AFAEE03" w14:textId="6B6ECDF9" w:rsidR="00102688" w:rsidRPr="00641229" w:rsidRDefault="00641229" w:rsidP="00102688">
      <w:pPr>
        <w:ind w:hanging="1170"/>
        <w:rPr>
          <w:rFonts w:asciiTheme="majorHAnsi" w:hAnsiTheme="majorHAnsi" w:cstheme="majorHAnsi"/>
        </w:rPr>
      </w:pPr>
      <w:r>
        <w:rPr>
          <w:rFonts w:asciiTheme="majorHAnsi" w:hAnsiTheme="majorHAnsi" w:cstheme="majorHAnsi"/>
        </w:rPr>
        <w:t xml:space="preserve">                      </w:t>
      </w:r>
      <w:proofErr w:type="spellStart"/>
      <w:r w:rsidR="00102688" w:rsidRPr="00641229">
        <w:rPr>
          <w:rFonts w:asciiTheme="majorHAnsi" w:hAnsiTheme="majorHAnsi" w:cstheme="majorHAnsi"/>
        </w:rPr>
        <w:t>ecomx</w:t>
      </w:r>
      <w:proofErr w:type="spellEnd"/>
      <w:r w:rsidR="00102688" w:rsidRPr="00641229">
        <w:rPr>
          <w:rFonts w:asciiTheme="majorHAnsi" w:hAnsiTheme="majorHAnsi" w:cstheme="majorHAnsi"/>
        </w:rPr>
        <w:t xml:space="preserve"> </w:t>
      </w:r>
      <w:proofErr w:type="spellStart"/>
      <w:r w:rsidR="00102688" w:rsidRPr="00641229">
        <w:rPr>
          <w:rFonts w:asciiTheme="majorHAnsi" w:hAnsiTheme="majorHAnsi" w:cstheme="majorHAnsi"/>
        </w:rPr>
        <w:t>bereitet</w:t>
      </w:r>
      <w:proofErr w:type="spellEnd"/>
      <w:r w:rsidR="00102688" w:rsidRPr="00641229">
        <w:rPr>
          <w:rFonts w:asciiTheme="majorHAnsi" w:hAnsiTheme="majorHAnsi" w:cstheme="majorHAnsi"/>
        </w:rPr>
        <w:t xml:space="preserve"> </w:t>
      </w:r>
      <w:proofErr w:type="spellStart"/>
      <w:r w:rsidR="00102688" w:rsidRPr="00641229">
        <w:rPr>
          <w:rFonts w:asciiTheme="majorHAnsi" w:hAnsiTheme="majorHAnsi" w:cstheme="majorHAnsi"/>
        </w:rPr>
        <w:t>sich</w:t>
      </w:r>
      <w:proofErr w:type="spellEnd"/>
      <w:r w:rsidR="00102688" w:rsidRPr="00641229">
        <w:rPr>
          <w:rFonts w:asciiTheme="majorHAnsi" w:hAnsiTheme="majorHAnsi" w:cstheme="majorHAnsi"/>
        </w:rPr>
        <w:t xml:space="preserve"> nun darauf vor, einen Vorverkauf und einen dreistufigen ecomx-Token-Verkauf über eine TGE abzuschließen, um weitere Mittel für die Fertigstellungen des Projekts zu </w:t>
      </w:r>
      <w:r w:rsidR="00102688" w:rsidRPr="00641229">
        <w:rPr>
          <w:rFonts w:asciiTheme="majorHAnsi" w:hAnsiTheme="majorHAnsi" w:cstheme="majorHAnsi"/>
        </w:rPr>
        <w:lastRenderedPageBreak/>
        <w:t>suchen, die Verteilung beider Token und die "Verwendung von Geldern" werden in den nächsten Seiten erläutert.</w:t>
      </w:r>
    </w:p>
    <w:p w14:paraId="1789B4EC" w14:textId="77777777" w:rsidR="00102688" w:rsidRPr="00641229" w:rsidRDefault="00102688" w:rsidP="00102688">
      <w:pPr>
        <w:ind w:hanging="1170"/>
        <w:rPr>
          <w:rFonts w:asciiTheme="majorHAnsi" w:hAnsiTheme="majorHAnsi" w:cstheme="majorHAnsi"/>
        </w:rPr>
      </w:pPr>
    </w:p>
    <w:p w14:paraId="18EE6E52" w14:textId="77777777" w:rsidR="00102688" w:rsidRPr="00641229" w:rsidRDefault="00102688" w:rsidP="00102688">
      <w:pPr>
        <w:pStyle w:val="Heading1"/>
        <w:rPr>
          <w:rFonts w:eastAsia="Times New Roman" w:cstheme="majorHAnsi"/>
          <w:sz w:val="24"/>
          <w:szCs w:val="24"/>
        </w:rPr>
      </w:pPr>
      <w:bookmarkStart w:id="1" w:name="_Toc525218821"/>
      <w:bookmarkEnd w:id="1"/>
      <w:r w:rsidRPr="00641229">
        <w:rPr>
          <w:rFonts w:cstheme="majorHAnsi"/>
          <w:sz w:val="24"/>
          <w:szCs w:val="24"/>
        </w:rPr>
        <w:t>ecomx Token Distribution</w:t>
      </w:r>
    </w:p>
    <w:p w14:paraId="0E0AF631" w14:textId="77777777" w:rsidR="00102688" w:rsidRPr="00641229" w:rsidRDefault="00102688" w:rsidP="00102688">
      <w:pPr>
        <w:spacing w:before="100" w:beforeAutospacing="1" w:after="100" w:afterAutospacing="1"/>
        <w:rPr>
          <w:rFonts w:asciiTheme="majorHAnsi" w:hAnsiTheme="majorHAnsi" w:cstheme="majorHAnsi"/>
        </w:rPr>
      </w:pPr>
      <w:r w:rsidRPr="00641229">
        <w:rPr>
          <w:rFonts w:asciiTheme="majorHAnsi" w:hAnsiTheme="majorHAnsi" w:cstheme="majorHAnsi"/>
          <w:noProof/>
        </w:rPr>
        <w:drawing>
          <wp:inline distT="0" distB="0" distL="0" distR="0" wp14:anchorId="7EFB9449" wp14:editId="14749F4C">
            <wp:extent cx="3822971" cy="254864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OMX_TOKEN_DISTRIBU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35357" cy="2556904"/>
                    </a:xfrm>
                    <a:prstGeom prst="rect">
                      <a:avLst/>
                    </a:prstGeom>
                  </pic:spPr>
                </pic:pic>
              </a:graphicData>
            </a:graphic>
          </wp:inline>
        </w:drawing>
      </w:r>
    </w:p>
    <w:p w14:paraId="55936455" w14:textId="77777777" w:rsidR="00102688" w:rsidRPr="00641229" w:rsidRDefault="00102688" w:rsidP="00102688">
      <w:pPr>
        <w:pStyle w:val="Heading3"/>
        <w:rPr>
          <w:rFonts w:eastAsia="Times New Roman" w:cstheme="majorHAnsi"/>
        </w:rPr>
      </w:pPr>
    </w:p>
    <w:p w14:paraId="127CE301" w14:textId="77777777" w:rsidR="00102688" w:rsidRPr="00641229" w:rsidRDefault="00102688" w:rsidP="00102688">
      <w:pPr>
        <w:pStyle w:val="Heading3"/>
        <w:rPr>
          <w:rFonts w:eastAsia="Times New Roman" w:cstheme="majorHAnsi"/>
        </w:rPr>
      </w:pPr>
      <w:bookmarkStart w:id="2" w:name="_Toc525218822"/>
      <w:bookmarkEnd w:id="2"/>
      <w:r w:rsidRPr="00641229">
        <w:rPr>
          <w:rFonts w:cstheme="majorHAnsi"/>
        </w:rPr>
        <w:t>Token Sale-Phase 1</w:t>
      </w:r>
    </w:p>
    <w:p w14:paraId="5C1D53D6" w14:textId="77777777" w:rsidR="00102688" w:rsidRPr="00641229" w:rsidRDefault="00102688" w:rsidP="00102688">
      <w:pPr>
        <w:spacing w:before="100" w:beforeAutospacing="1" w:after="100" w:afterAutospacing="1"/>
        <w:rPr>
          <w:rFonts w:asciiTheme="majorHAnsi" w:hAnsiTheme="majorHAnsi" w:cstheme="majorHAnsi"/>
        </w:rPr>
      </w:pPr>
      <w:r w:rsidRPr="00641229">
        <w:rPr>
          <w:rFonts w:asciiTheme="majorHAnsi" w:hAnsiTheme="majorHAnsi" w:cstheme="majorHAnsi"/>
        </w:rPr>
        <w:t>10% (20 Millionen) Token sind für die ecomx Token Sale Phase 2 reserviert. Es wird einer mindesttransaktion von $25.000 für akkreditierte Investoren und $50,00 für nicht-US-Privatpersonen unterliegen.</w:t>
      </w:r>
    </w:p>
    <w:p w14:paraId="6C26149A" w14:textId="77777777" w:rsidR="00102688" w:rsidRPr="00641229" w:rsidRDefault="00102688" w:rsidP="00102688">
      <w:pPr>
        <w:pStyle w:val="Heading3"/>
        <w:rPr>
          <w:rFonts w:eastAsia="Times New Roman" w:cstheme="majorHAnsi"/>
        </w:rPr>
      </w:pPr>
      <w:bookmarkStart w:id="3" w:name="_Toc525218823"/>
      <w:bookmarkEnd w:id="3"/>
      <w:r w:rsidRPr="00641229">
        <w:rPr>
          <w:rFonts w:cstheme="majorHAnsi"/>
        </w:rPr>
        <w:t>Token Sale-Phase 2</w:t>
      </w:r>
    </w:p>
    <w:p w14:paraId="0BF14C50" w14:textId="77777777" w:rsidR="00102688" w:rsidRPr="00641229" w:rsidRDefault="00102688" w:rsidP="00102688">
      <w:pPr>
        <w:spacing w:before="100" w:beforeAutospacing="1" w:after="100" w:afterAutospacing="1"/>
        <w:rPr>
          <w:rFonts w:asciiTheme="majorHAnsi" w:hAnsiTheme="majorHAnsi" w:cstheme="majorHAnsi"/>
        </w:rPr>
      </w:pPr>
      <w:r w:rsidRPr="00641229">
        <w:rPr>
          <w:rFonts w:asciiTheme="majorHAnsi" w:hAnsiTheme="majorHAnsi" w:cstheme="majorHAnsi"/>
        </w:rPr>
        <w:t>30% (60 Millionen) Token sind für die ecomx Token Sale Phase 2 reserviert. Es wird einer mindesttransaktion von $25.000 für akkreditierte Investoren und $50,00 für nicht-US-Privatpersonen unterliegen.</w:t>
      </w:r>
    </w:p>
    <w:p w14:paraId="43094FFC" w14:textId="77777777" w:rsidR="00102688" w:rsidRPr="00641229" w:rsidRDefault="00102688" w:rsidP="00102688">
      <w:pPr>
        <w:pStyle w:val="Heading3"/>
        <w:rPr>
          <w:rFonts w:eastAsia="Times New Roman" w:cstheme="majorHAnsi"/>
        </w:rPr>
      </w:pPr>
      <w:bookmarkStart w:id="4" w:name="_Toc525218824"/>
      <w:bookmarkEnd w:id="4"/>
      <w:r w:rsidRPr="00641229">
        <w:rPr>
          <w:rFonts w:cstheme="majorHAnsi"/>
        </w:rPr>
        <w:t>Token Sale-Phase 3</w:t>
      </w:r>
    </w:p>
    <w:p w14:paraId="574E55DB" w14:textId="77777777" w:rsidR="00102688" w:rsidRPr="00641229" w:rsidRDefault="00102688" w:rsidP="00102688">
      <w:pPr>
        <w:spacing w:before="100" w:beforeAutospacing="1" w:after="100" w:afterAutospacing="1"/>
        <w:rPr>
          <w:rFonts w:asciiTheme="majorHAnsi" w:hAnsiTheme="majorHAnsi" w:cstheme="majorHAnsi"/>
        </w:rPr>
      </w:pPr>
      <w:r w:rsidRPr="00641229">
        <w:rPr>
          <w:rFonts w:asciiTheme="majorHAnsi" w:hAnsiTheme="majorHAnsi" w:cstheme="majorHAnsi"/>
        </w:rPr>
        <w:t>20% (40 Millionen) Token sind für die ecomx Token Sale Phase 3 reserviert. Es wird einer mindesttransaktion von $25.000 für akkreditierte Investoren und $50,00 für nicht-US-Privatpersonen unterliegen.</w:t>
      </w:r>
    </w:p>
    <w:p w14:paraId="73408E31" w14:textId="77777777" w:rsidR="00102688" w:rsidRPr="00641229" w:rsidRDefault="00102688" w:rsidP="00102688">
      <w:pPr>
        <w:pStyle w:val="Heading3"/>
        <w:rPr>
          <w:rFonts w:eastAsia="Times New Roman" w:cstheme="majorHAnsi"/>
        </w:rPr>
      </w:pPr>
      <w:bookmarkStart w:id="5" w:name="_Toc525218825"/>
      <w:bookmarkEnd w:id="5"/>
      <w:r w:rsidRPr="00641229">
        <w:rPr>
          <w:rFonts w:cstheme="majorHAnsi"/>
        </w:rPr>
        <w:lastRenderedPageBreak/>
        <w:t>Management und Berater behält sich</w:t>
      </w:r>
    </w:p>
    <w:p w14:paraId="0E9BF3A0" w14:textId="473357B4" w:rsidR="00102688" w:rsidRPr="00641229" w:rsidRDefault="00102688" w:rsidP="00102688">
      <w:pPr>
        <w:shd w:val="clear" w:color="auto" w:fill="FFFFFF"/>
        <w:spacing w:before="100" w:beforeAutospacing="1" w:after="100" w:afterAutospacing="1"/>
        <w:rPr>
          <w:rFonts w:asciiTheme="majorHAnsi" w:hAnsiTheme="majorHAnsi" w:cstheme="majorHAnsi"/>
        </w:rPr>
      </w:pPr>
      <w:r w:rsidRPr="00641229">
        <w:rPr>
          <w:rFonts w:asciiTheme="majorHAnsi" w:hAnsiTheme="majorHAnsi" w:cstheme="majorHAnsi"/>
        </w:rPr>
        <w:t xml:space="preserve">8% (16 Millionen) des ecomx-Token-Angebots werden an verschiedene Beratungsunternehmen und einzelne Berater und Management-Teammitglieder verteilt, die mit ihren Inputs, ihrem Know-how und der Konzeption und Umsetzung der ecomx-Plattform geholfen </w:t>
      </w:r>
      <w:proofErr w:type="gramStart"/>
      <w:r w:rsidRPr="00641229">
        <w:rPr>
          <w:rFonts w:asciiTheme="majorHAnsi" w:hAnsiTheme="majorHAnsi" w:cstheme="majorHAnsi"/>
        </w:rPr>
        <w:t>haben.Diese</w:t>
      </w:r>
      <w:proofErr w:type="gramEnd"/>
      <w:r w:rsidRPr="00641229">
        <w:rPr>
          <w:rFonts w:asciiTheme="majorHAnsi" w:hAnsiTheme="majorHAnsi" w:cstheme="majorHAnsi"/>
        </w:rPr>
        <w:t xml:space="preserve"> Token werden auf der Grundlage eines 16-monatigen Sperr Termins mit 1 Million Token verteilt, die jeden Monat veröffentlicht werden und gleichermaßen durch die Anzahl der aufgelisteten Berater und leitenden Manager aufgeteilt werden. Die Ausschüttung beginnt 1 Monat nach dem Ende des privaten und öffentlichen Verkaufs.</w:t>
      </w:r>
    </w:p>
    <w:p w14:paraId="0FDE047D" w14:textId="77777777" w:rsidR="00102688" w:rsidRPr="00641229" w:rsidRDefault="00102688" w:rsidP="00102688">
      <w:pPr>
        <w:pStyle w:val="Heading3"/>
        <w:rPr>
          <w:rFonts w:eastAsia="Times New Roman" w:cstheme="majorHAnsi"/>
        </w:rPr>
      </w:pPr>
      <w:bookmarkStart w:id="6" w:name="_Toc525218826"/>
      <w:bookmarkEnd w:id="6"/>
      <w:r w:rsidRPr="00641229">
        <w:rPr>
          <w:rFonts w:cstheme="majorHAnsi"/>
        </w:rPr>
        <w:t>Partners Program</w:t>
      </w:r>
    </w:p>
    <w:p w14:paraId="535EEE33" w14:textId="479244F3" w:rsidR="00102688" w:rsidRPr="00641229" w:rsidRDefault="00102688" w:rsidP="00102688">
      <w:pPr>
        <w:shd w:val="clear" w:color="auto" w:fill="FFFFFF"/>
        <w:spacing w:before="100" w:beforeAutospacing="1" w:after="100" w:afterAutospacing="1"/>
        <w:rPr>
          <w:rFonts w:asciiTheme="majorHAnsi" w:hAnsiTheme="majorHAnsi" w:cstheme="majorHAnsi"/>
        </w:rPr>
      </w:pPr>
      <w:r w:rsidRPr="00641229">
        <w:rPr>
          <w:rFonts w:asciiTheme="majorHAnsi" w:hAnsiTheme="majorHAnsi" w:cstheme="majorHAnsi"/>
        </w:rPr>
        <w:t>5% (10 Millionen) des ecomx-Token-Angebots werden für die Entwicklung des ecomx Partners-Programms reserviert, das große Marktplätze, Versand, Logistik usw. umfasst.</w:t>
      </w:r>
    </w:p>
    <w:p w14:paraId="4392B480" w14:textId="77777777" w:rsidR="00810BD9" w:rsidRPr="00641229" w:rsidRDefault="00810BD9" w:rsidP="00810BD9">
      <w:pPr>
        <w:pStyle w:val="Heading3"/>
        <w:rPr>
          <w:rFonts w:eastAsia="Times New Roman" w:cstheme="majorHAnsi"/>
          <w:color w:val="000000" w:themeColor="text1"/>
        </w:rPr>
      </w:pPr>
      <w:bookmarkStart w:id="7" w:name="_Toc525576148"/>
      <w:bookmarkStart w:id="8" w:name="_Toc525218828"/>
      <w:bookmarkEnd w:id="7"/>
      <w:r w:rsidRPr="00641229">
        <w:rPr>
          <w:rFonts w:cstheme="majorHAnsi"/>
          <w:color w:val="000000"/>
        </w:rPr>
        <w:t>Angels &amp; BROKERS (sponsorenprogramm)</w:t>
      </w:r>
    </w:p>
    <w:p w14:paraId="6E236691" w14:textId="77777777" w:rsidR="00810BD9" w:rsidRPr="00641229" w:rsidRDefault="00810BD9" w:rsidP="00810BD9">
      <w:pPr>
        <w:shd w:val="clear" w:color="auto" w:fill="FFFFFF"/>
        <w:spacing w:before="100" w:beforeAutospacing="1" w:after="100" w:afterAutospacing="1"/>
        <w:rPr>
          <w:rFonts w:asciiTheme="majorHAnsi" w:hAnsiTheme="majorHAnsi" w:cstheme="majorHAnsi"/>
          <w:color w:val="000000" w:themeColor="text1"/>
        </w:rPr>
      </w:pPr>
      <w:r w:rsidRPr="00641229">
        <w:rPr>
          <w:rFonts w:asciiTheme="majorHAnsi" w:hAnsiTheme="majorHAnsi" w:cstheme="majorHAnsi"/>
          <w:color w:val="000000"/>
        </w:rPr>
        <w:t>5% (10 Millionen) der ecomx-Token-Versorgung wird für die Entwicklung einer Gemeinschaft von akkreditierten Angel-Investoren, frühen Adoptiveltern und Maklern/Agenten reserviert, die für die Finanzierung, die für die vollständige Entwicklung des Projekts erforderlich ist, entscheidend sind.</w:t>
      </w:r>
    </w:p>
    <w:bookmarkEnd w:id="8"/>
    <w:p w14:paraId="2F6550A7" w14:textId="77777777" w:rsidR="00102688" w:rsidRPr="00641229" w:rsidRDefault="00102688" w:rsidP="00102688">
      <w:pPr>
        <w:pStyle w:val="Heading3"/>
        <w:rPr>
          <w:rFonts w:eastAsia="Times New Roman" w:cstheme="majorHAnsi"/>
        </w:rPr>
      </w:pPr>
      <w:r w:rsidRPr="00641229">
        <w:rPr>
          <w:rFonts w:cstheme="majorHAnsi"/>
        </w:rPr>
        <w:t>Bounty und airdrop Reserven</w:t>
      </w:r>
    </w:p>
    <w:p w14:paraId="5CD3E7BD" w14:textId="7E1E6D51" w:rsidR="00102688" w:rsidRPr="00641229" w:rsidRDefault="00102688" w:rsidP="00102688">
      <w:pPr>
        <w:shd w:val="clear" w:color="auto" w:fill="FFFFFF"/>
        <w:spacing w:before="100" w:beforeAutospacing="1" w:after="100" w:afterAutospacing="1"/>
        <w:rPr>
          <w:rFonts w:asciiTheme="majorHAnsi" w:hAnsiTheme="majorHAnsi" w:cstheme="majorHAnsi"/>
        </w:rPr>
      </w:pPr>
      <w:r w:rsidRPr="00641229">
        <w:rPr>
          <w:rFonts w:asciiTheme="majorHAnsi" w:hAnsiTheme="majorHAnsi" w:cstheme="majorHAnsi"/>
        </w:rPr>
        <w:t>ecomx wird 2% (4 Millionen) des Token-Angebots für ein allgemeines Bounty und airdrop-</w:t>
      </w:r>
      <w:proofErr w:type="spellStart"/>
      <w:r w:rsidRPr="00641229">
        <w:rPr>
          <w:rFonts w:asciiTheme="majorHAnsi" w:hAnsiTheme="majorHAnsi" w:cstheme="majorHAnsi"/>
        </w:rPr>
        <w:t>Programm</w:t>
      </w:r>
      <w:proofErr w:type="spellEnd"/>
      <w:r w:rsidRPr="00641229">
        <w:rPr>
          <w:rFonts w:asciiTheme="majorHAnsi" w:hAnsiTheme="majorHAnsi" w:cstheme="majorHAnsi"/>
        </w:rPr>
        <w:t xml:space="preserve"> </w:t>
      </w:r>
      <w:proofErr w:type="spellStart"/>
      <w:r w:rsidRPr="00641229">
        <w:rPr>
          <w:rFonts w:asciiTheme="majorHAnsi" w:hAnsiTheme="majorHAnsi" w:cstheme="majorHAnsi"/>
        </w:rPr>
        <w:t>beiseite</w:t>
      </w:r>
      <w:proofErr w:type="spellEnd"/>
      <w:r w:rsidRPr="00641229">
        <w:rPr>
          <w:rFonts w:asciiTheme="majorHAnsi" w:hAnsiTheme="majorHAnsi" w:cstheme="majorHAnsi"/>
        </w:rPr>
        <w:t xml:space="preserve"> </w:t>
      </w:r>
      <w:proofErr w:type="spellStart"/>
      <w:r w:rsidRPr="00641229">
        <w:rPr>
          <w:rFonts w:asciiTheme="majorHAnsi" w:hAnsiTheme="majorHAnsi" w:cstheme="majorHAnsi"/>
        </w:rPr>
        <w:t>legen</w:t>
      </w:r>
      <w:proofErr w:type="spellEnd"/>
      <w:r w:rsidRPr="00641229">
        <w:rPr>
          <w:rFonts w:asciiTheme="majorHAnsi" w:hAnsiTheme="majorHAnsi" w:cstheme="majorHAnsi"/>
        </w:rPr>
        <w:t>.</w:t>
      </w:r>
      <w:r w:rsidR="00641229">
        <w:rPr>
          <w:rFonts w:asciiTheme="majorHAnsi" w:hAnsiTheme="majorHAnsi" w:cstheme="majorHAnsi"/>
        </w:rPr>
        <w:t xml:space="preserve"> Das Bounty/A</w:t>
      </w:r>
      <w:r w:rsidRPr="00641229">
        <w:rPr>
          <w:rFonts w:asciiTheme="majorHAnsi" w:hAnsiTheme="majorHAnsi" w:cstheme="majorHAnsi"/>
        </w:rPr>
        <w:t>irdrop-</w:t>
      </w:r>
      <w:proofErr w:type="spellStart"/>
      <w:r w:rsidRPr="00641229">
        <w:rPr>
          <w:rFonts w:asciiTheme="majorHAnsi" w:hAnsiTheme="majorHAnsi" w:cstheme="majorHAnsi"/>
        </w:rPr>
        <w:t>Programm</w:t>
      </w:r>
      <w:proofErr w:type="spellEnd"/>
      <w:r w:rsidRPr="00641229">
        <w:rPr>
          <w:rFonts w:asciiTheme="majorHAnsi" w:hAnsiTheme="majorHAnsi" w:cstheme="majorHAnsi"/>
        </w:rPr>
        <w:t xml:space="preserve"> </w:t>
      </w:r>
      <w:proofErr w:type="spellStart"/>
      <w:r w:rsidRPr="00641229">
        <w:rPr>
          <w:rFonts w:asciiTheme="majorHAnsi" w:hAnsiTheme="majorHAnsi" w:cstheme="majorHAnsi"/>
        </w:rPr>
        <w:t>wird</w:t>
      </w:r>
      <w:proofErr w:type="spellEnd"/>
      <w:r w:rsidRPr="00641229">
        <w:rPr>
          <w:rFonts w:asciiTheme="majorHAnsi" w:hAnsiTheme="majorHAnsi" w:cstheme="majorHAnsi"/>
        </w:rPr>
        <w:t xml:space="preserve"> </w:t>
      </w:r>
      <w:proofErr w:type="spellStart"/>
      <w:r w:rsidRPr="00641229">
        <w:rPr>
          <w:rFonts w:asciiTheme="majorHAnsi" w:hAnsiTheme="majorHAnsi" w:cstheme="majorHAnsi"/>
        </w:rPr>
        <w:t>für</w:t>
      </w:r>
      <w:proofErr w:type="spellEnd"/>
      <w:r w:rsidRPr="00641229">
        <w:rPr>
          <w:rFonts w:asciiTheme="majorHAnsi" w:hAnsiTheme="majorHAnsi" w:cstheme="majorHAnsi"/>
        </w:rPr>
        <w:t xml:space="preserve"> </w:t>
      </w:r>
      <w:proofErr w:type="spellStart"/>
      <w:r w:rsidRPr="00641229">
        <w:rPr>
          <w:rFonts w:asciiTheme="majorHAnsi" w:hAnsiTheme="majorHAnsi" w:cstheme="majorHAnsi"/>
        </w:rPr>
        <w:t>jedermann</w:t>
      </w:r>
      <w:proofErr w:type="spellEnd"/>
      <w:r w:rsidRPr="00641229">
        <w:rPr>
          <w:rFonts w:asciiTheme="majorHAnsi" w:hAnsiTheme="majorHAnsi" w:cstheme="majorHAnsi"/>
        </w:rPr>
        <w:t xml:space="preserve"> zugänglich sein und wird von ecomx als Zeichen der Wertschätzung für die durch Arbeit oder Teilnahme an einem Programm, das die ecomx-Benutzergemeinschaft verbessert, vergeben.</w:t>
      </w:r>
    </w:p>
    <w:p w14:paraId="486E2C08" w14:textId="77777777" w:rsidR="00102688" w:rsidRPr="00641229" w:rsidRDefault="00102688" w:rsidP="00102688">
      <w:pPr>
        <w:pStyle w:val="Heading3"/>
        <w:rPr>
          <w:rFonts w:eastAsia="Times New Roman" w:cstheme="majorHAnsi"/>
        </w:rPr>
      </w:pPr>
      <w:bookmarkStart w:id="9" w:name="_Toc525218829"/>
      <w:bookmarkEnd w:id="9"/>
      <w:r w:rsidRPr="00641229">
        <w:rPr>
          <w:rFonts w:cstheme="majorHAnsi"/>
        </w:rPr>
        <w:t xml:space="preserve">Gründer  </w:t>
      </w:r>
    </w:p>
    <w:p w14:paraId="459BF7BD" w14:textId="26A73C00" w:rsidR="00102688" w:rsidRPr="00641229" w:rsidRDefault="00102688" w:rsidP="00102688">
      <w:pPr>
        <w:shd w:val="clear" w:color="auto" w:fill="FFFFFF"/>
        <w:spacing w:before="100" w:beforeAutospacing="1" w:after="100" w:afterAutospacing="1"/>
        <w:rPr>
          <w:rFonts w:asciiTheme="majorHAnsi" w:hAnsiTheme="majorHAnsi" w:cstheme="majorHAnsi"/>
        </w:rPr>
      </w:pPr>
      <w:r w:rsidRPr="00641229">
        <w:rPr>
          <w:rFonts w:asciiTheme="majorHAnsi" w:hAnsiTheme="majorHAnsi" w:cstheme="majorHAnsi"/>
        </w:rPr>
        <w:t>die Gründer von ecomx haben Anspruch auf 10% (20 Millionen) der ecomx-Token-Lieferung.Diese Token werden einem 12-monatigen Sperr Plan unterzogen.</w:t>
      </w:r>
    </w:p>
    <w:p w14:paraId="0B7BD66B" w14:textId="77777777" w:rsidR="00102688" w:rsidRPr="00641229" w:rsidRDefault="00102688" w:rsidP="00102688">
      <w:pPr>
        <w:pStyle w:val="Heading3"/>
        <w:rPr>
          <w:rFonts w:eastAsia="Times New Roman" w:cstheme="majorHAnsi"/>
        </w:rPr>
      </w:pPr>
      <w:bookmarkStart w:id="10" w:name="_Toc525218830"/>
      <w:bookmarkEnd w:id="10"/>
      <w:r w:rsidRPr="00641229">
        <w:rPr>
          <w:rFonts w:cstheme="majorHAnsi"/>
        </w:rPr>
        <w:t>Reserviert für Bergleute Belohnungsprogramm</w:t>
      </w:r>
    </w:p>
    <w:p w14:paraId="28DD88A9" w14:textId="1C3DFE85" w:rsidR="00102688" w:rsidRPr="00641229" w:rsidRDefault="00102688" w:rsidP="00102688">
      <w:pPr>
        <w:shd w:val="clear" w:color="auto" w:fill="FFFFFF"/>
        <w:spacing w:before="100" w:beforeAutospacing="1" w:after="100" w:afterAutospacing="1"/>
        <w:rPr>
          <w:rFonts w:asciiTheme="majorHAnsi" w:hAnsiTheme="majorHAnsi" w:cstheme="majorHAnsi"/>
        </w:rPr>
      </w:pPr>
      <w:r w:rsidRPr="00641229">
        <w:rPr>
          <w:rFonts w:asciiTheme="majorHAnsi" w:hAnsiTheme="majorHAnsi" w:cstheme="majorHAnsi"/>
        </w:rPr>
        <w:t>ecomx reserviert 10% (20 Millionen) der ecomx-Token-Versorgung.Diese Token werden reserviert sein, um das Gas für Bergleute der blockchain-Transaktionen zu decken.</w:t>
      </w:r>
    </w:p>
    <w:p w14:paraId="2360FE12" w14:textId="78315CE6" w:rsidR="00102688" w:rsidRPr="00641229" w:rsidRDefault="00102688" w:rsidP="00102688">
      <w:pPr>
        <w:pStyle w:val="Heading1"/>
        <w:rPr>
          <w:rFonts w:eastAsia="Times New Roman" w:cstheme="majorHAnsi"/>
          <w:sz w:val="24"/>
          <w:szCs w:val="24"/>
        </w:rPr>
      </w:pPr>
      <w:bookmarkStart w:id="11" w:name="_Toc525218831"/>
      <w:bookmarkEnd w:id="11"/>
      <w:proofErr w:type="spellStart"/>
      <w:r w:rsidRPr="00641229">
        <w:rPr>
          <w:rFonts w:cstheme="majorHAnsi"/>
          <w:sz w:val="24"/>
          <w:szCs w:val="24"/>
        </w:rPr>
        <w:lastRenderedPageBreak/>
        <w:t>Ecomx-Verwendung</w:t>
      </w:r>
      <w:proofErr w:type="spellEnd"/>
      <w:r w:rsidRPr="00641229">
        <w:rPr>
          <w:rFonts w:cstheme="majorHAnsi"/>
          <w:sz w:val="24"/>
          <w:szCs w:val="24"/>
        </w:rPr>
        <w:t xml:space="preserve"> von </w:t>
      </w:r>
      <w:proofErr w:type="spellStart"/>
      <w:r w:rsidRPr="00641229">
        <w:rPr>
          <w:rFonts w:cstheme="majorHAnsi"/>
          <w:sz w:val="24"/>
          <w:szCs w:val="24"/>
        </w:rPr>
        <w:t>Mitteln</w:t>
      </w:r>
      <w:proofErr w:type="spellEnd"/>
      <w:r w:rsidRPr="00641229">
        <w:rPr>
          <w:rFonts w:cstheme="majorHAnsi"/>
          <w:sz w:val="24"/>
          <w:szCs w:val="24"/>
        </w:rPr>
        <w:t xml:space="preserve">   </w:t>
      </w:r>
    </w:p>
    <w:p w14:paraId="5AFFAFD6" w14:textId="77777777" w:rsidR="00102688" w:rsidRPr="00641229" w:rsidRDefault="00102688" w:rsidP="00102688">
      <w:pPr>
        <w:rPr>
          <w:rFonts w:asciiTheme="majorHAnsi" w:hAnsiTheme="majorHAnsi" w:cstheme="majorHAnsi"/>
        </w:rPr>
      </w:pPr>
    </w:p>
    <w:p w14:paraId="1E098088" w14:textId="77777777" w:rsidR="00102688" w:rsidRPr="00641229" w:rsidRDefault="00102688" w:rsidP="00102688">
      <w:pPr>
        <w:rPr>
          <w:rFonts w:asciiTheme="majorHAnsi" w:hAnsiTheme="majorHAnsi" w:cstheme="majorHAnsi"/>
        </w:rPr>
      </w:pPr>
      <w:r w:rsidRPr="00641229">
        <w:rPr>
          <w:rFonts w:asciiTheme="majorHAnsi" w:hAnsiTheme="majorHAnsi" w:cstheme="majorHAnsi"/>
          <w:noProof/>
        </w:rPr>
        <w:drawing>
          <wp:inline distT="0" distB="0" distL="0" distR="0" wp14:anchorId="590FD3F1" wp14:editId="4F429A45">
            <wp:extent cx="4351506" cy="2901004"/>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OMX_USE_OF_FUN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64536" cy="2909691"/>
                    </a:xfrm>
                    <a:prstGeom prst="rect">
                      <a:avLst/>
                    </a:prstGeom>
                  </pic:spPr>
                </pic:pic>
              </a:graphicData>
            </a:graphic>
          </wp:inline>
        </w:drawing>
      </w:r>
    </w:p>
    <w:p w14:paraId="6D94A870" w14:textId="77777777" w:rsidR="00102688" w:rsidRPr="00641229" w:rsidRDefault="00102688" w:rsidP="00102688">
      <w:pPr>
        <w:rPr>
          <w:rFonts w:asciiTheme="majorHAnsi" w:hAnsiTheme="majorHAnsi" w:cstheme="majorHAnsi"/>
        </w:rPr>
      </w:pPr>
    </w:p>
    <w:p w14:paraId="7B0EB204" w14:textId="77777777" w:rsidR="00102688" w:rsidRPr="00641229" w:rsidRDefault="00102688" w:rsidP="00102688">
      <w:pPr>
        <w:pStyle w:val="Heading5"/>
        <w:rPr>
          <w:rFonts w:eastAsia="Times New Roman" w:cstheme="majorHAnsi"/>
        </w:rPr>
      </w:pPr>
    </w:p>
    <w:p w14:paraId="7DD041DB" w14:textId="77777777" w:rsidR="00102688" w:rsidRPr="00641229" w:rsidRDefault="00102688" w:rsidP="00102688">
      <w:pPr>
        <w:pStyle w:val="Heading3"/>
        <w:rPr>
          <w:rFonts w:eastAsia="Times New Roman" w:cstheme="majorHAnsi"/>
        </w:rPr>
      </w:pPr>
      <w:bookmarkStart w:id="12" w:name="_Toc525218832"/>
      <w:bookmarkEnd w:id="12"/>
      <w:r w:rsidRPr="00641229">
        <w:rPr>
          <w:rFonts w:cstheme="majorHAnsi"/>
        </w:rPr>
        <w:t xml:space="preserve">Technologie, Software Entwicklung, Infrastruktur  </w:t>
      </w:r>
    </w:p>
    <w:p w14:paraId="397B58E2" w14:textId="77777777" w:rsidR="00102688" w:rsidRPr="00641229" w:rsidRDefault="00102688" w:rsidP="00102688">
      <w:pPr>
        <w:shd w:val="clear" w:color="auto" w:fill="FFFFFF"/>
        <w:spacing w:before="100" w:beforeAutospacing="1" w:after="100" w:afterAutospacing="1"/>
        <w:rPr>
          <w:rFonts w:asciiTheme="majorHAnsi" w:hAnsiTheme="majorHAnsi" w:cstheme="majorHAnsi"/>
        </w:rPr>
      </w:pPr>
      <w:r w:rsidRPr="00641229">
        <w:rPr>
          <w:rFonts w:asciiTheme="majorHAnsi" w:hAnsiTheme="majorHAnsi" w:cstheme="majorHAnsi"/>
        </w:rPr>
        <w:t>Bezieht sich auf die Kosten für den Bau oder Erwerb von Kerntechnologie, den Bau und die Instandhaltung der ecomx-blockchain einschließlich der gaszahlung an Bergleute zunächst in der ethereum-blockchain und später für die ecomx-blockchain, VM, die ecomx-Token, Smart-Verträge, dapps, etc. einschließlich, aber nicht beschränkt auf Serverkosten und Entwicklungswerkzeuge, Berater, Zuschüsse an unsere edu-Partner für spezifische f &amp; e-Projekte und Ausrüstung.</w:t>
      </w:r>
    </w:p>
    <w:p w14:paraId="4C0DA659" w14:textId="77777777" w:rsidR="00102688" w:rsidRPr="00641229" w:rsidRDefault="00102688" w:rsidP="00102688">
      <w:pPr>
        <w:pStyle w:val="Heading3"/>
        <w:rPr>
          <w:rFonts w:eastAsia="Times New Roman" w:cstheme="majorHAnsi"/>
        </w:rPr>
      </w:pPr>
      <w:bookmarkStart w:id="13" w:name="_Toc525218833"/>
      <w:bookmarkEnd w:id="13"/>
      <w:r w:rsidRPr="00641229">
        <w:rPr>
          <w:rFonts w:cstheme="majorHAnsi"/>
        </w:rPr>
        <w:t xml:space="preserve">Sales &amp; Marketing  </w:t>
      </w:r>
    </w:p>
    <w:p w14:paraId="42B392C7" w14:textId="77777777" w:rsidR="00102688" w:rsidRPr="00641229" w:rsidRDefault="00102688" w:rsidP="00102688">
      <w:pPr>
        <w:shd w:val="clear" w:color="auto" w:fill="FFFFFF"/>
        <w:spacing w:before="100" w:beforeAutospacing="1" w:after="100" w:afterAutospacing="1"/>
        <w:rPr>
          <w:rFonts w:asciiTheme="majorHAnsi" w:hAnsiTheme="majorHAnsi" w:cstheme="majorHAnsi"/>
        </w:rPr>
      </w:pPr>
      <w:r w:rsidRPr="00641229">
        <w:rPr>
          <w:rFonts w:asciiTheme="majorHAnsi" w:hAnsiTheme="majorHAnsi" w:cstheme="majorHAnsi"/>
        </w:rPr>
        <w:t>Bezieht sich auf die Kosten für die Kommunikation und die Bereitstellung des Wertes der Organisation an Ihre Nutzer und Partner, wie zum Beispiel die allgemeine Reichweite über verschiedene Kanäle, Öffentlichkeitsarbeit, Medienberichterstattung, gemeinschaftliches bauen/Management und Werbung.Inklusive Vertrieb und Botschafter Team und Berater.</w:t>
      </w:r>
    </w:p>
    <w:p w14:paraId="7E12AC17" w14:textId="77777777" w:rsidR="00102688" w:rsidRPr="00641229" w:rsidRDefault="00102688" w:rsidP="00102688">
      <w:pPr>
        <w:pStyle w:val="Heading3"/>
        <w:rPr>
          <w:rFonts w:eastAsia="Times New Roman" w:cstheme="majorHAnsi"/>
        </w:rPr>
      </w:pPr>
      <w:bookmarkStart w:id="14" w:name="_Toc525218834"/>
      <w:r w:rsidRPr="00641229">
        <w:rPr>
          <w:rFonts w:eastAsia="Times New Roman" w:cstheme="majorHAnsi"/>
        </w:rPr>
        <w:lastRenderedPageBreak/>
        <w:t>TEAM</w:t>
      </w:r>
      <w:bookmarkEnd w:id="14"/>
    </w:p>
    <w:p w14:paraId="2D60D95B" w14:textId="77777777" w:rsidR="00102688" w:rsidRPr="00641229" w:rsidRDefault="00102688" w:rsidP="00102688">
      <w:pPr>
        <w:shd w:val="clear" w:color="auto" w:fill="FFFFFF"/>
        <w:spacing w:before="100" w:beforeAutospacing="1" w:after="100" w:afterAutospacing="1"/>
        <w:rPr>
          <w:rFonts w:asciiTheme="majorHAnsi" w:hAnsiTheme="majorHAnsi" w:cstheme="majorHAnsi"/>
        </w:rPr>
      </w:pPr>
      <w:r w:rsidRPr="00641229">
        <w:rPr>
          <w:rFonts w:asciiTheme="majorHAnsi" w:hAnsiTheme="majorHAnsi" w:cstheme="majorHAnsi"/>
        </w:rPr>
        <w:t>Bezieht sich auf die Kosten für die Montage eines Kerns von weltbesten Wissenschaftlern, Doktoranden, Ingenieuren und blockchain-Experten, um die Entwicklung der Crypto-eCommerce-Technologie zu leiten und zu steuern.</w:t>
      </w:r>
    </w:p>
    <w:p w14:paraId="777F3A38" w14:textId="77777777" w:rsidR="00102688" w:rsidRPr="00641229" w:rsidRDefault="00102688" w:rsidP="00102688">
      <w:pPr>
        <w:pStyle w:val="Heading3"/>
        <w:rPr>
          <w:rFonts w:eastAsia="Times New Roman" w:cstheme="majorHAnsi"/>
        </w:rPr>
      </w:pPr>
      <w:bookmarkStart w:id="15" w:name="_Toc525218835"/>
      <w:bookmarkEnd w:id="15"/>
      <w:r w:rsidRPr="00641229">
        <w:rPr>
          <w:rFonts w:cstheme="majorHAnsi"/>
        </w:rPr>
        <w:t>Kundenbetreuung</w:t>
      </w:r>
    </w:p>
    <w:p w14:paraId="21F1F32A" w14:textId="0079DCBF" w:rsidR="00102688" w:rsidRPr="00641229" w:rsidRDefault="00102688" w:rsidP="00102688">
      <w:pPr>
        <w:shd w:val="clear" w:color="auto" w:fill="FFFFFF"/>
        <w:spacing w:before="100" w:beforeAutospacing="1" w:after="100" w:afterAutospacing="1"/>
        <w:rPr>
          <w:rFonts w:asciiTheme="majorHAnsi" w:hAnsiTheme="majorHAnsi" w:cstheme="majorHAnsi"/>
        </w:rPr>
      </w:pPr>
      <w:r w:rsidRPr="00641229">
        <w:rPr>
          <w:rFonts w:asciiTheme="majorHAnsi" w:hAnsiTheme="majorHAnsi" w:cstheme="majorHAnsi"/>
        </w:rPr>
        <w:t xml:space="preserve">Bezieht sich auf die Kosten für die Montage eines Kerns von Unterstützungs Spezialisten mit tiefem Wissen über die ecomx-Bereiche, mit denen die </w:t>
      </w:r>
      <w:proofErr w:type="spellStart"/>
      <w:r w:rsidRPr="00641229">
        <w:rPr>
          <w:rFonts w:asciiTheme="majorHAnsi" w:hAnsiTheme="majorHAnsi" w:cstheme="majorHAnsi"/>
        </w:rPr>
        <w:t>Öffentlichkeit</w:t>
      </w:r>
      <w:proofErr w:type="spellEnd"/>
      <w:r w:rsidRPr="00641229">
        <w:rPr>
          <w:rFonts w:asciiTheme="majorHAnsi" w:hAnsiTheme="majorHAnsi" w:cstheme="majorHAnsi"/>
        </w:rPr>
        <w:t xml:space="preserve"> </w:t>
      </w:r>
      <w:proofErr w:type="spellStart"/>
      <w:r w:rsidRPr="00641229">
        <w:rPr>
          <w:rFonts w:asciiTheme="majorHAnsi" w:hAnsiTheme="majorHAnsi" w:cstheme="majorHAnsi"/>
        </w:rPr>
        <w:t>Unterstützung</w:t>
      </w:r>
      <w:proofErr w:type="spellEnd"/>
      <w:r w:rsidRPr="00641229">
        <w:rPr>
          <w:rFonts w:asciiTheme="majorHAnsi" w:hAnsiTheme="majorHAnsi" w:cstheme="majorHAnsi"/>
        </w:rPr>
        <w:t xml:space="preserve"> </w:t>
      </w:r>
      <w:proofErr w:type="spellStart"/>
      <w:r w:rsidRPr="00641229">
        <w:rPr>
          <w:rFonts w:asciiTheme="majorHAnsi" w:hAnsiTheme="majorHAnsi" w:cstheme="majorHAnsi"/>
        </w:rPr>
        <w:t>benötigen</w:t>
      </w:r>
      <w:proofErr w:type="spellEnd"/>
      <w:r w:rsidRPr="00641229">
        <w:rPr>
          <w:rFonts w:asciiTheme="majorHAnsi" w:hAnsiTheme="majorHAnsi" w:cstheme="majorHAnsi"/>
        </w:rPr>
        <w:t xml:space="preserve"> </w:t>
      </w:r>
      <w:proofErr w:type="spellStart"/>
      <w:r w:rsidRPr="00641229">
        <w:rPr>
          <w:rFonts w:asciiTheme="majorHAnsi" w:hAnsiTheme="majorHAnsi" w:cstheme="majorHAnsi"/>
        </w:rPr>
        <w:t>kann</w:t>
      </w:r>
      <w:proofErr w:type="spellEnd"/>
      <w:r w:rsidRPr="00641229">
        <w:rPr>
          <w:rFonts w:asciiTheme="majorHAnsi" w:hAnsiTheme="majorHAnsi" w:cstheme="majorHAnsi"/>
        </w:rPr>
        <w:t>.</w:t>
      </w:r>
    </w:p>
    <w:p w14:paraId="5A0A44C2" w14:textId="77777777" w:rsidR="00102688" w:rsidRPr="00641229" w:rsidRDefault="00102688" w:rsidP="00102688">
      <w:pPr>
        <w:pStyle w:val="Heading3"/>
        <w:rPr>
          <w:rFonts w:eastAsia="Times New Roman" w:cstheme="majorHAnsi"/>
        </w:rPr>
      </w:pPr>
      <w:bookmarkStart w:id="16" w:name="_Toc525218836"/>
      <w:bookmarkEnd w:id="16"/>
      <w:r w:rsidRPr="00641229">
        <w:rPr>
          <w:rFonts w:cstheme="majorHAnsi"/>
        </w:rPr>
        <w:t xml:space="preserve">Rechtliche  </w:t>
      </w:r>
    </w:p>
    <w:p w14:paraId="56FCB0A6" w14:textId="77777777" w:rsidR="00102688" w:rsidRPr="00641229" w:rsidRDefault="00102688" w:rsidP="00102688">
      <w:pPr>
        <w:shd w:val="clear" w:color="auto" w:fill="FFFFFF"/>
        <w:spacing w:before="100" w:beforeAutospacing="1" w:after="100" w:afterAutospacing="1"/>
        <w:rPr>
          <w:rFonts w:asciiTheme="majorHAnsi" w:hAnsiTheme="majorHAnsi" w:cstheme="majorHAnsi"/>
        </w:rPr>
      </w:pPr>
      <w:r w:rsidRPr="00641229">
        <w:rPr>
          <w:rFonts w:asciiTheme="majorHAnsi" w:hAnsiTheme="majorHAnsi" w:cstheme="majorHAnsi"/>
        </w:rPr>
        <w:t>Bezieht sich auf die laufenden Anwaltskosten der Organisation, die auf die Organisation der Einrichtung zurückzuführen sind, und auf alle Rechtsberatung.</w:t>
      </w:r>
    </w:p>
    <w:p w14:paraId="3711B8E8" w14:textId="77777777" w:rsidR="00102688" w:rsidRPr="00641229" w:rsidRDefault="00102688" w:rsidP="00102688">
      <w:pPr>
        <w:pStyle w:val="Heading3"/>
        <w:rPr>
          <w:rFonts w:eastAsia="Times New Roman" w:cstheme="majorHAnsi"/>
        </w:rPr>
      </w:pPr>
      <w:bookmarkStart w:id="17" w:name="_Toc525218837"/>
      <w:bookmarkEnd w:id="17"/>
      <w:r w:rsidRPr="00641229">
        <w:rPr>
          <w:rFonts w:cstheme="majorHAnsi"/>
        </w:rPr>
        <w:t xml:space="preserve">Ecomx DAO Administration  </w:t>
      </w:r>
    </w:p>
    <w:p w14:paraId="3DEF65A3" w14:textId="77777777" w:rsidR="00102688" w:rsidRPr="00641229" w:rsidRDefault="00102688" w:rsidP="00102688">
      <w:pPr>
        <w:shd w:val="clear" w:color="auto" w:fill="FFFFFF"/>
        <w:spacing w:before="100" w:beforeAutospacing="1" w:after="100" w:afterAutospacing="1"/>
        <w:rPr>
          <w:rFonts w:asciiTheme="majorHAnsi" w:hAnsiTheme="majorHAnsi" w:cstheme="majorHAnsi"/>
        </w:rPr>
      </w:pPr>
      <w:r w:rsidRPr="00641229">
        <w:rPr>
          <w:rFonts w:asciiTheme="majorHAnsi" w:hAnsiTheme="majorHAnsi" w:cstheme="majorHAnsi"/>
        </w:rPr>
        <w:t>Bezieht sich auf die Kosten für den Betrieb der DAO-Organisation, einschließlich Gebäude Miete, Berater Gebühren, Abschreibungen auf Bürogeräte, Lieferungen, Abonnements und Versorgungsunternehmen, sowie Managervergütung.</w:t>
      </w:r>
    </w:p>
    <w:p w14:paraId="241AF163" w14:textId="77777777" w:rsidR="00102688" w:rsidRPr="00641229" w:rsidRDefault="00102688" w:rsidP="00102688">
      <w:pPr>
        <w:pStyle w:val="Heading3"/>
        <w:rPr>
          <w:rFonts w:eastAsia="Times New Roman" w:cstheme="majorHAnsi"/>
        </w:rPr>
      </w:pPr>
      <w:bookmarkStart w:id="18" w:name="_Toc525218838"/>
      <w:bookmarkEnd w:id="18"/>
      <w:r w:rsidRPr="00641229">
        <w:rPr>
          <w:rFonts w:cstheme="majorHAnsi"/>
        </w:rPr>
        <w:t>ANDERE</w:t>
      </w:r>
    </w:p>
    <w:p w14:paraId="38AB2E45" w14:textId="77777777" w:rsidR="00102688" w:rsidRPr="00641229" w:rsidRDefault="00102688" w:rsidP="00102688">
      <w:pPr>
        <w:shd w:val="clear" w:color="auto" w:fill="FFFFFF"/>
        <w:spacing w:before="100" w:beforeAutospacing="1" w:after="100" w:afterAutospacing="1"/>
        <w:rPr>
          <w:rFonts w:asciiTheme="majorHAnsi" w:hAnsiTheme="majorHAnsi" w:cstheme="majorHAnsi"/>
        </w:rPr>
      </w:pPr>
      <w:r w:rsidRPr="00641229">
        <w:rPr>
          <w:rFonts w:asciiTheme="majorHAnsi" w:hAnsiTheme="majorHAnsi" w:cstheme="majorHAnsi"/>
        </w:rPr>
        <w:t>Bezieht sich auf zufällige und andere verschiedene Ausgaben, die nicht klassifiziert werden können, wie Reisen, Unterkunft und Teilnahme an Konferenzen, andere.</w:t>
      </w:r>
    </w:p>
    <w:p w14:paraId="1A1AD59A" w14:textId="77777777" w:rsidR="00102688" w:rsidRPr="00641229" w:rsidRDefault="00102688" w:rsidP="00102688">
      <w:pPr>
        <w:rPr>
          <w:rFonts w:asciiTheme="majorHAnsi" w:hAnsiTheme="majorHAnsi" w:cstheme="majorHAnsi"/>
        </w:rPr>
      </w:pPr>
      <w:r w:rsidRPr="00641229">
        <w:rPr>
          <w:rFonts w:asciiTheme="majorHAnsi" w:hAnsiTheme="majorHAnsi" w:cstheme="majorHAnsi"/>
        </w:rPr>
        <w:t xml:space="preserve">Wir laden Sie ein, sich an der Vision von ecomx zu beteiligen und sich uns im ecomx-Projekt anzuschließen, um eine echte Transformations Plattform für die Zukunft des eCommerce zu </w:t>
      </w:r>
      <w:proofErr w:type="gramStart"/>
      <w:r w:rsidRPr="00641229">
        <w:rPr>
          <w:rFonts w:asciiTheme="majorHAnsi" w:hAnsiTheme="majorHAnsi" w:cstheme="majorHAnsi"/>
        </w:rPr>
        <w:t>schaffen.Wir</w:t>
      </w:r>
      <w:proofErr w:type="gramEnd"/>
      <w:r w:rsidRPr="00641229">
        <w:rPr>
          <w:rFonts w:asciiTheme="majorHAnsi" w:hAnsiTheme="majorHAnsi" w:cstheme="majorHAnsi"/>
        </w:rPr>
        <w:t xml:space="preserve"> glauben, dass ecomx im Mittelpunkt der </w:t>
      </w:r>
      <w:proofErr w:type="spellStart"/>
      <w:r w:rsidRPr="00641229">
        <w:rPr>
          <w:rFonts w:asciiTheme="majorHAnsi" w:hAnsiTheme="majorHAnsi" w:cstheme="majorHAnsi"/>
        </w:rPr>
        <w:t>nächsten</w:t>
      </w:r>
      <w:proofErr w:type="spellEnd"/>
      <w:r w:rsidRPr="00641229">
        <w:rPr>
          <w:rFonts w:asciiTheme="majorHAnsi" w:hAnsiTheme="majorHAnsi" w:cstheme="majorHAnsi"/>
        </w:rPr>
        <w:t xml:space="preserve"> eCommerce-Revolution </w:t>
      </w:r>
      <w:proofErr w:type="spellStart"/>
      <w:r w:rsidRPr="00641229">
        <w:rPr>
          <w:rFonts w:asciiTheme="majorHAnsi" w:hAnsiTheme="majorHAnsi" w:cstheme="majorHAnsi"/>
        </w:rPr>
        <w:t>stehen</w:t>
      </w:r>
      <w:proofErr w:type="spellEnd"/>
      <w:r w:rsidRPr="00641229">
        <w:rPr>
          <w:rFonts w:asciiTheme="majorHAnsi" w:hAnsiTheme="majorHAnsi" w:cstheme="majorHAnsi"/>
        </w:rPr>
        <w:t xml:space="preserve"> </w:t>
      </w:r>
      <w:proofErr w:type="spellStart"/>
      <w:r w:rsidRPr="00641229">
        <w:rPr>
          <w:rFonts w:asciiTheme="majorHAnsi" w:hAnsiTheme="majorHAnsi" w:cstheme="majorHAnsi"/>
        </w:rPr>
        <w:t>wird</w:t>
      </w:r>
      <w:proofErr w:type="spellEnd"/>
      <w:r w:rsidRPr="00641229">
        <w:rPr>
          <w:rFonts w:asciiTheme="majorHAnsi" w:hAnsiTheme="majorHAnsi" w:cstheme="majorHAnsi"/>
        </w:rPr>
        <w:t>.</w:t>
      </w:r>
    </w:p>
    <w:p w14:paraId="128121D5" w14:textId="77777777" w:rsidR="00102688" w:rsidRPr="00641229" w:rsidRDefault="00102688" w:rsidP="00102688">
      <w:pPr>
        <w:pStyle w:val="Heading1"/>
        <w:rPr>
          <w:rFonts w:cstheme="majorHAnsi"/>
          <w:sz w:val="24"/>
          <w:szCs w:val="24"/>
        </w:rPr>
      </w:pPr>
    </w:p>
    <w:p w14:paraId="714BF7BF" w14:textId="0632F171" w:rsidR="0049230A" w:rsidRPr="00641229" w:rsidRDefault="00423566" w:rsidP="00423566">
      <w:pPr>
        <w:pStyle w:val="Heading3"/>
        <w:rPr>
          <w:rFonts w:cstheme="majorHAnsi"/>
        </w:rPr>
      </w:pPr>
      <w:r w:rsidRPr="00641229">
        <w:rPr>
          <w:rFonts w:cstheme="majorHAnsi"/>
        </w:rPr>
        <w:t>ERKLäRUNG</w:t>
      </w:r>
    </w:p>
    <w:p w14:paraId="435041AF" w14:textId="77777777" w:rsidR="00423566" w:rsidRPr="00641229" w:rsidRDefault="00423566" w:rsidP="00423566">
      <w:pPr>
        <w:spacing w:before="100" w:beforeAutospacing="1" w:after="100" w:afterAutospacing="1"/>
        <w:rPr>
          <w:rFonts w:asciiTheme="majorHAnsi" w:hAnsiTheme="majorHAnsi" w:cstheme="majorHAnsi"/>
          <w:b/>
        </w:rPr>
      </w:pPr>
      <w:r w:rsidRPr="00641229">
        <w:rPr>
          <w:rFonts w:asciiTheme="majorHAnsi" w:hAnsiTheme="majorHAnsi" w:cstheme="majorHAnsi"/>
          <w:b/>
          <w:bCs/>
        </w:rPr>
        <w:t>US-Bürger und US-Einwohner, die nach der Verordnung D der US-Sicherheits-und Börsenkommission kein "akkreditierter Investor" sind, sind vom Kauf von ecomx-Token in allen Phasen der Token-Distribution ausgeschlossen!</w:t>
      </w:r>
      <w:r w:rsidRPr="00641229">
        <w:rPr>
          <w:rFonts w:asciiTheme="majorHAnsi" w:hAnsiTheme="majorHAnsi" w:cstheme="majorHAnsi"/>
        </w:rPr>
        <w:t xml:space="preserve">  </w:t>
      </w:r>
    </w:p>
    <w:p w14:paraId="78F4ACD0" w14:textId="721AF158" w:rsidR="00423566" w:rsidRPr="00641229" w:rsidRDefault="00FE476E" w:rsidP="00423566">
      <w:pPr>
        <w:spacing w:before="100" w:beforeAutospacing="1" w:after="100" w:afterAutospacing="1"/>
        <w:rPr>
          <w:rFonts w:asciiTheme="majorHAnsi" w:hAnsiTheme="majorHAnsi" w:cstheme="majorHAnsi"/>
          <w:b/>
        </w:rPr>
      </w:pPr>
      <w:hyperlink r:id="rId9" w:history="1"/>
      <w:r w:rsidR="00423566" w:rsidRPr="00641229">
        <w:rPr>
          <w:rFonts w:asciiTheme="majorHAnsi" w:hAnsiTheme="majorHAnsi" w:cstheme="majorHAnsi"/>
          <w:b/>
          <w:bCs/>
        </w:rPr>
        <w:t xml:space="preserve">Die </w:t>
      </w:r>
      <w:proofErr w:type="spellStart"/>
      <w:r w:rsidR="00423566" w:rsidRPr="00641229">
        <w:rPr>
          <w:rFonts w:asciiTheme="majorHAnsi" w:hAnsiTheme="majorHAnsi" w:cstheme="majorHAnsi"/>
          <w:b/>
          <w:bCs/>
        </w:rPr>
        <w:t>ecomx</w:t>
      </w:r>
      <w:proofErr w:type="spellEnd"/>
      <w:r w:rsidR="00423566" w:rsidRPr="00641229">
        <w:rPr>
          <w:rFonts w:asciiTheme="majorHAnsi" w:hAnsiTheme="majorHAnsi" w:cstheme="majorHAnsi"/>
          <w:b/>
          <w:bCs/>
        </w:rPr>
        <w:t xml:space="preserve"> TGE Sale Website verlangt, dass alle akkreditierten Investoren von einem Drittanbieter-Service zertifiziert werden, und nachdem diese Zertifizierung auf unsere Server hochgeladen und ordnungsgemäß überprüft wurde, kann der Verkauf an einen solchen akkreditierten Investor von "Verifizierung" auf "verifiziert" geändert werden. und dann kann der akkreditierte Investor an der Token-Distribution teilnehmen, wie es im ecomx-Token-Verkauf heißt "</w:t>
      </w:r>
      <w:r w:rsidR="00423566" w:rsidRPr="00641229">
        <w:rPr>
          <w:rFonts w:asciiTheme="majorHAnsi" w:hAnsiTheme="majorHAnsi" w:cstheme="majorHAnsi"/>
        </w:rPr>
        <w:t xml:space="preserve"> </w:t>
      </w:r>
      <w:r w:rsidR="00423566" w:rsidRPr="00641229">
        <w:rPr>
          <w:rStyle w:val="Hyperlink"/>
          <w:rFonts w:asciiTheme="majorHAnsi" w:hAnsiTheme="majorHAnsi" w:cstheme="majorHAnsi"/>
          <w:b/>
          <w:bCs/>
        </w:rPr>
        <w:t>Terms &amp; Conditions</w:t>
      </w:r>
      <w:r w:rsidR="00423566" w:rsidRPr="00641229">
        <w:rPr>
          <w:rFonts w:asciiTheme="majorHAnsi" w:hAnsiTheme="majorHAnsi" w:cstheme="majorHAnsi"/>
        </w:rPr>
        <w:t xml:space="preserve"> </w:t>
      </w:r>
      <w:r w:rsidR="00423566" w:rsidRPr="00641229">
        <w:rPr>
          <w:rFonts w:asciiTheme="majorHAnsi" w:hAnsiTheme="majorHAnsi" w:cstheme="majorHAnsi"/>
          <w:b/>
          <w:bCs/>
        </w:rPr>
        <w:t>".</w:t>
      </w:r>
    </w:p>
    <w:p w14:paraId="5D96AA63" w14:textId="77777777" w:rsidR="00423566" w:rsidRPr="00641229" w:rsidRDefault="00423566" w:rsidP="00423566">
      <w:pPr>
        <w:spacing w:before="100" w:beforeAutospacing="1" w:after="100" w:afterAutospacing="1"/>
        <w:rPr>
          <w:rFonts w:asciiTheme="majorHAnsi" w:hAnsiTheme="majorHAnsi" w:cstheme="majorHAnsi"/>
          <w:b/>
        </w:rPr>
      </w:pPr>
      <w:r w:rsidRPr="00641229">
        <w:rPr>
          <w:rFonts w:asciiTheme="majorHAnsi" w:hAnsiTheme="majorHAnsi" w:cstheme="majorHAnsi"/>
          <w:b/>
          <w:bCs/>
        </w:rPr>
        <w:t>Es ist wichtig, erneut zu erklären, dass es sich bei den ecomx-Token selbst nicht um Wertpapiere, Rohstoffe, Swaps auf Wertpapieren oder Rohstoffen oder ähnliche Finanzinstrumente handelt.</w:t>
      </w:r>
      <w:r w:rsidRPr="00641229">
        <w:rPr>
          <w:rFonts w:asciiTheme="majorHAnsi" w:hAnsiTheme="majorHAnsi" w:cstheme="majorHAnsi"/>
        </w:rPr>
        <w:t xml:space="preserve"> </w:t>
      </w:r>
      <w:r w:rsidRPr="00641229">
        <w:rPr>
          <w:rFonts w:asciiTheme="majorHAnsi" w:hAnsiTheme="majorHAnsi" w:cstheme="majorHAnsi"/>
          <w:b/>
          <w:bCs/>
        </w:rPr>
        <w:t>Die ecomx-Token sind nicht für Investitionen oder spekulative Zwecke konzipiert und sollten nicht als eine Art von Investition betrachtet werden.</w:t>
      </w:r>
      <w:r w:rsidRPr="00641229">
        <w:rPr>
          <w:rFonts w:asciiTheme="majorHAnsi" w:hAnsiTheme="majorHAnsi" w:cstheme="majorHAnsi"/>
        </w:rPr>
        <w:t xml:space="preserve"> </w:t>
      </w:r>
      <w:r w:rsidRPr="00641229">
        <w:rPr>
          <w:rFonts w:asciiTheme="majorHAnsi" w:hAnsiTheme="majorHAnsi" w:cstheme="majorHAnsi"/>
          <w:b/>
          <w:bCs/>
        </w:rPr>
        <w:t>Nichtsdestotrotz sollten US-Bürger, Einwohner und nicht akkreditierte Investoren oder Unternehmen nicht kaufen oder versuchen, ecomx-Token zu kaufen.</w:t>
      </w:r>
    </w:p>
    <w:p w14:paraId="7813777F" w14:textId="3BE6BE1E" w:rsidR="00423566" w:rsidRPr="00641229" w:rsidRDefault="00FE476E" w:rsidP="00423566">
      <w:pPr>
        <w:spacing w:before="100" w:beforeAutospacing="1" w:after="100" w:afterAutospacing="1"/>
        <w:rPr>
          <w:rFonts w:asciiTheme="majorHAnsi" w:hAnsiTheme="majorHAnsi" w:cstheme="majorHAnsi"/>
          <w:b/>
        </w:rPr>
      </w:pPr>
      <w:r w:rsidRPr="00641229">
        <w:rPr>
          <w:rFonts w:asciiTheme="majorHAnsi" w:hAnsiTheme="majorHAnsi" w:cstheme="majorHAnsi"/>
        </w:rPr>
        <w:fldChar w:fldCharType="begin"/>
      </w:r>
      <w:r w:rsidRPr="00641229">
        <w:rPr>
          <w:rFonts w:asciiTheme="majorHAnsi" w:hAnsiTheme="majorHAnsi" w:cstheme="majorHAnsi"/>
        </w:rPr>
        <w:instrText xml:space="preserve"> HYPERLINK "https://www.earlyiq.com" </w:instrText>
      </w:r>
      <w:r w:rsidRPr="00641229">
        <w:rPr>
          <w:rFonts w:asciiTheme="majorHAnsi" w:hAnsiTheme="majorHAnsi" w:cstheme="majorHAnsi"/>
        </w:rPr>
        <w:fldChar w:fldCharType="separate"/>
      </w:r>
      <w:r w:rsidRPr="00641229">
        <w:rPr>
          <w:rFonts w:asciiTheme="majorHAnsi" w:hAnsiTheme="majorHAnsi" w:cstheme="majorHAnsi"/>
        </w:rPr>
        <w:fldChar w:fldCharType="end"/>
      </w:r>
      <w:hyperlink r:id="rId10" w:history="1"/>
      <w:proofErr w:type="spellStart"/>
      <w:r w:rsidR="00423566" w:rsidRPr="00641229">
        <w:rPr>
          <w:rFonts w:asciiTheme="majorHAnsi" w:hAnsiTheme="majorHAnsi" w:cstheme="majorHAnsi"/>
          <w:b/>
          <w:bCs/>
        </w:rPr>
        <w:t>ecomx-Entwickler</w:t>
      </w:r>
      <w:proofErr w:type="spellEnd"/>
      <w:r w:rsidR="00423566" w:rsidRPr="00641229">
        <w:rPr>
          <w:rFonts w:asciiTheme="majorHAnsi" w:hAnsiTheme="majorHAnsi" w:cstheme="majorHAnsi"/>
          <w:b/>
          <w:bCs/>
        </w:rPr>
        <w:t xml:space="preserve"> </w:t>
      </w:r>
      <w:proofErr w:type="spellStart"/>
      <w:r w:rsidR="00423566" w:rsidRPr="00641229">
        <w:rPr>
          <w:rFonts w:asciiTheme="majorHAnsi" w:hAnsiTheme="majorHAnsi" w:cstheme="majorHAnsi"/>
          <w:b/>
          <w:bCs/>
        </w:rPr>
        <w:t>haben</w:t>
      </w:r>
      <w:proofErr w:type="spellEnd"/>
      <w:r w:rsidR="00423566" w:rsidRPr="00641229">
        <w:rPr>
          <w:rFonts w:asciiTheme="majorHAnsi" w:hAnsiTheme="majorHAnsi" w:cstheme="majorHAnsi"/>
          <w:b/>
          <w:bCs/>
        </w:rPr>
        <w:t xml:space="preserve"> </w:t>
      </w:r>
      <w:proofErr w:type="spellStart"/>
      <w:r w:rsidR="00423566" w:rsidRPr="00641229">
        <w:rPr>
          <w:rFonts w:asciiTheme="majorHAnsi" w:hAnsiTheme="majorHAnsi" w:cstheme="majorHAnsi"/>
          <w:b/>
          <w:bCs/>
        </w:rPr>
        <w:t>große</w:t>
      </w:r>
      <w:proofErr w:type="spellEnd"/>
      <w:r w:rsidR="00423566" w:rsidRPr="00641229">
        <w:rPr>
          <w:rFonts w:asciiTheme="majorHAnsi" w:hAnsiTheme="majorHAnsi" w:cstheme="majorHAnsi"/>
          <w:b/>
          <w:bCs/>
        </w:rPr>
        <w:t xml:space="preserve"> </w:t>
      </w:r>
      <w:proofErr w:type="spellStart"/>
      <w:r w:rsidR="00423566" w:rsidRPr="00641229">
        <w:rPr>
          <w:rFonts w:asciiTheme="majorHAnsi" w:hAnsiTheme="majorHAnsi" w:cstheme="majorHAnsi"/>
          <w:b/>
          <w:bCs/>
        </w:rPr>
        <w:t>Sorgfalt</w:t>
      </w:r>
      <w:proofErr w:type="spellEnd"/>
      <w:r w:rsidR="00423566" w:rsidRPr="00641229">
        <w:rPr>
          <w:rFonts w:asciiTheme="majorHAnsi" w:hAnsiTheme="majorHAnsi" w:cstheme="majorHAnsi"/>
          <w:b/>
          <w:bCs/>
        </w:rPr>
        <w:t xml:space="preserve"> walten lassen, um die TGE-Software zu entwerfen, um einzelne US-Bürger und andere unbefugte vom Kauf von ecomx-Token abzuhalten und akkreditierte Investoren zu verpflichten, von unserem Partner überprüft zu werden: earlyiq ( </w:t>
      </w:r>
      <w:r w:rsidR="00423566" w:rsidRPr="00641229">
        <w:rPr>
          <w:rFonts w:asciiTheme="majorHAnsi" w:hAnsiTheme="majorHAnsi" w:cstheme="majorHAnsi"/>
        </w:rPr>
        <w:t xml:space="preserve"> </w:t>
      </w:r>
      <w:r w:rsidR="00423566" w:rsidRPr="00641229">
        <w:rPr>
          <w:rStyle w:val="Hyperlink"/>
          <w:rFonts w:asciiTheme="majorHAnsi" w:hAnsiTheme="majorHAnsi" w:cstheme="majorHAnsi"/>
          <w:b/>
          <w:bCs/>
        </w:rPr>
        <w:t>https://www.earlyiq.com</w:t>
      </w:r>
      <w:r w:rsidR="00423566" w:rsidRPr="00641229">
        <w:rPr>
          <w:rFonts w:asciiTheme="majorHAnsi" w:hAnsiTheme="majorHAnsi" w:cstheme="majorHAnsi"/>
        </w:rPr>
        <w:t xml:space="preserve"> </w:t>
      </w:r>
      <w:r w:rsidR="00423566" w:rsidRPr="00641229">
        <w:rPr>
          <w:rFonts w:asciiTheme="majorHAnsi" w:hAnsiTheme="majorHAnsi" w:cstheme="majorHAnsi"/>
          <w:b/>
          <w:bCs/>
        </w:rPr>
        <w:t xml:space="preserve"> ) und um eine umfassende KYC/AML-Verifizierung zu bestehen, die von unserem KYC-Partner verwaltet wird: identitymindglobal ( </w:t>
      </w:r>
      <w:r w:rsidR="00423566" w:rsidRPr="00641229">
        <w:rPr>
          <w:rStyle w:val="Hyperlink"/>
          <w:rFonts w:asciiTheme="majorHAnsi" w:hAnsiTheme="majorHAnsi" w:cstheme="majorHAnsi"/>
          <w:b/>
          <w:bCs/>
        </w:rPr>
        <w:t>https://identitymindglobal.com</w:t>
      </w:r>
      <w:bookmarkStart w:id="19" w:name="_GoBack"/>
      <w:bookmarkEnd w:id="19"/>
      <w:r w:rsidR="00423566" w:rsidRPr="00641229">
        <w:rPr>
          <w:rFonts w:asciiTheme="majorHAnsi" w:hAnsiTheme="majorHAnsi" w:cstheme="majorHAnsi"/>
          <w:b/>
          <w:bCs/>
        </w:rPr>
        <w:t xml:space="preserve"> ).</w:t>
      </w:r>
    </w:p>
    <w:p w14:paraId="1DDC33AE" w14:textId="0A5419D8" w:rsidR="00423566" w:rsidRPr="00641229" w:rsidRDefault="00423566" w:rsidP="00423566">
      <w:pPr>
        <w:spacing w:before="100" w:beforeAutospacing="1" w:after="100" w:afterAutospacing="1"/>
        <w:rPr>
          <w:rFonts w:asciiTheme="majorHAnsi" w:hAnsiTheme="majorHAnsi" w:cstheme="majorHAnsi"/>
          <w:b/>
        </w:rPr>
      </w:pPr>
      <w:r w:rsidRPr="00641229">
        <w:rPr>
          <w:rFonts w:asciiTheme="majorHAnsi" w:hAnsiTheme="majorHAnsi" w:cstheme="majorHAnsi"/>
          <w:b/>
          <w:bCs/>
        </w:rPr>
        <w:t>Der ecomx-Token-Distributionsvertrag, der ecomx-Token-Smart-Vertrag, die ecomx-blockchain, die eComX.org-Website und Ihr grenzüberschreitender Krypto-Marktplatz www. ecomx. World werden auf einer "as is" und "as verfügbar"-Basis ohne Darstellungen zur Verfügung gestellt, Garantien, Versprechungen oder Garantien jeglicher Art, die von ecomx gemacht werden.</w:t>
      </w:r>
      <w:r w:rsidRPr="00641229">
        <w:rPr>
          <w:rFonts w:asciiTheme="majorHAnsi" w:hAnsiTheme="majorHAnsi" w:cstheme="majorHAnsi"/>
        </w:rPr>
        <w:t xml:space="preserve"> </w:t>
      </w:r>
      <w:r w:rsidRPr="00641229">
        <w:rPr>
          <w:rFonts w:asciiTheme="majorHAnsi" w:hAnsiTheme="majorHAnsi" w:cstheme="majorHAnsi"/>
          <w:b/>
          <w:bCs/>
        </w:rPr>
        <w:t>Vor dem Kauf von ecomx-Token sollten Sie sicherstellen, dass Sie Ihre eigene Prüfung und Untersuchung durchführen und die Risiken, die mit dem Kauf von ecomx-Token verbunden sind, wie Sie in den ecomx-Token-Verkaufsbedingungen festgelegt sind, sorgfältig überprüfen</w:t>
      </w:r>
      <w:proofErr w:type="gramStart"/>
      <w:r w:rsidRPr="00641229">
        <w:rPr>
          <w:rFonts w:asciiTheme="majorHAnsi" w:hAnsiTheme="majorHAnsi" w:cstheme="majorHAnsi"/>
          <w:b/>
          <w:bCs/>
        </w:rPr>
        <w:t>. .</w:t>
      </w:r>
      <w:proofErr w:type="gramEnd"/>
      <w:r w:rsidRPr="00641229">
        <w:rPr>
          <w:rFonts w:asciiTheme="majorHAnsi" w:hAnsiTheme="majorHAnsi" w:cstheme="majorHAnsi"/>
        </w:rPr>
        <w:t xml:space="preserve"> </w:t>
      </w:r>
      <w:r w:rsidRPr="00641229">
        <w:rPr>
          <w:rFonts w:asciiTheme="majorHAnsi" w:hAnsiTheme="majorHAnsi" w:cstheme="majorHAnsi"/>
          <w:b/>
          <w:bCs/>
        </w:rPr>
        <w:t>Der Kauf von ecomx-Token ist nicht erstattungsfähig und der Kauf kann nicht storniert werden.</w:t>
      </w:r>
      <w:r w:rsidRPr="00641229">
        <w:rPr>
          <w:rFonts w:asciiTheme="majorHAnsi" w:hAnsiTheme="majorHAnsi" w:cstheme="majorHAnsi"/>
        </w:rPr>
        <w:t xml:space="preserve"> </w:t>
      </w:r>
      <w:r w:rsidRPr="00641229">
        <w:rPr>
          <w:rFonts w:asciiTheme="majorHAnsi" w:hAnsiTheme="majorHAnsi" w:cstheme="majorHAnsi"/>
          <w:b/>
          <w:bCs/>
        </w:rPr>
        <w:t>Auf keinen Fall haben Sie das Recht, Geld oder Entschädigung für ein erworbener ecomx-Token oder ihre Unfähigkeit, ecomx-Token zu kaufen, zu erhalten.</w:t>
      </w:r>
      <w:r w:rsidRPr="00641229">
        <w:rPr>
          <w:rFonts w:asciiTheme="majorHAnsi" w:hAnsiTheme="majorHAnsi" w:cstheme="majorHAnsi"/>
        </w:rPr>
        <w:t xml:space="preserve"> </w:t>
      </w:r>
      <w:r w:rsidRPr="00641229">
        <w:rPr>
          <w:rFonts w:asciiTheme="majorHAnsi" w:hAnsiTheme="majorHAnsi" w:cstheme="majorHAnsi"/>
          <w:b/>
          <w:bCs/>
        </w:rPr>
        <w:t>Die ecomx-Token haben keine anderen Rechte, Verwendungen, Verwendungszwecke, Attribute, Funktionalitäten oder Funktionen, die über die in diesem Dokument und Whitepaper genannten hinausgehen oder implizit sind.</w:t>
      </w:r>
    </w:p>
    <w:p w14:paraId="0266C579" w14:textId="3BB25413" w:rsidR="00423566" w:rsidRPr="00641229" w:rsidRDefault="00423566" w:rsidP="0049230A">
      <w:pPr>
        <w:pStyle w:val="NormalWeb"/>
        <w:rPr>
          <w:rFonts w:asciiTheme="majorHAnsi" w:hAnsiTheme="majorHAnsi" w:cstheme="majorHAnsi"/>
        </w:rPr>
      </w:pPr>
    </w:p>
    <w:sectPr w:rsidR="00423566" w:rsidRPr="00641229" w:rsidSect="008D6A60">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7F4C5" w14:textId="77777777" w:rsidR="00FE476E" w:rsidRDefault="00FE476E" w:rsidP="00B340CE">
      <w:r>
        <w:separator/>
      </w:r>
    </w:p>
  </w:endnote>
  <w:endnote w:type="continuationSeparator" w:id="0">
    <w:p w14:paraId="6A748DF8" w14:textId="77777777" w:rsidR="00FE476E" w:rsidRDefault="00FE476E" w:rsidP="00B34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32036248"/>
      <w:docPartObj>
        <w:docPartGallery w:val="Page Numbers (Bottom of Page)"/>
        <w:docPartUnique/>
      </w:docPartObj>
    </w:sdtPr>
    <w:sdtEndPr>
      <w:rPr>
        <w:rStyle w:val="PageNumber"/>
      </w:rPr>
    </w:sdtEndPr>
    <w:sdtContent>
      <w:p w14:paraId="4B6E348D" w14:textId="61977160" w:rsidR="00407A00" w:rsidRDefault="00407A00" w:rsidP="001D681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EBD86C" w14:textId="77777777" w:rsidR="00407A00" w:rsidRDefault="00407A00" w:rsidP="00407A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color w:val="808080" w:themeColor="background1" w:themeShade="80"/>
      </w:rPr>
      <w:id w:val="-2062084985"/>
      <w:docPartObj>
        <w:docPartGallery w:val="Page Numbers (Bottom of Page)"/>
        <w:docPartUnique/>
      </w:docPartObj>
    </w:sdtPr>
    <w:sdtEndPr>
      <w:rPr>
        <w:rStyle w:val="PageNumber"/>
        <w:sz w:val="22"/>
        <w:szCs w:val="22"/>
      </w:rPr>
    </w:sdtEndPr>
    <w:sdtContent>
      <w:p w14:paraId="6316F272" w14:textId="7D30E85C" w:rsidR="00407A00" w:rsidRPr="00407A00" w:rsidRDefault="00407A00" w:rsidP="00407A00">
        <w:pPr>
          <w:pStyle w:val="Footer"/>
          <w:framePr w:wrap="none" w:vAnchor="text" w:hAnchor="page" w:x="5602" w:y="331"/>
          <w:rPr>
            <w:rStyle w:val="PageNumber"/>
            <w:color w:val="808080" w:themeColor="background1" w:themeShade="80"/>
          </w:rPr>
        </w:pPr>
        <w:r w:rsidRPr="00407A00">
          <w:rPr>
            <w:rStyle w:val="PageNumber"/>
            <w:color w:val="808080" w:themeColor="background1" w:themeShade="80"/>
          </w:rPr>
          <w:t xml:space="preserve">   </w:t>
        </w:r>
        <w:r w:rsidRPr="00407A00">
          <w:rPr>
            <w:rStyle w:val="PageNumber"/>
            <w:color w:val="808080" w:themeColor="background1" w:themeShade="80"/>
          </w:rPr>
          <w:fldChar w:fldCharType="begin"/>
        </w:r>
        <w:r w:rsidRPr="00407A00">
          <w:rPr>
            <w:rStyle w:val="PageNumber"/>
            <w:color w:val="808080" w:themeColor="background1" w:themeShade="80"/>
          </w:rPr>
          <w:instrText xml:space="preserve"> PAGE </w:instrText>
        </w:r>
        <w:r w:rsidRPr="00407A00">
          <w:rPr>
            <w:rStyle w:val="PageNumber"/>
            <w:color w:val="808080" w:themeColor="background1" w:themeShade="80"/>
          </w:rPr>
          <w:fldChar w:fldCharType="separate"/>
        </w:r>
        <w:r w:rsidRPr="00407A00">
          <w:rPr>
            <w:rStyle w:val="PageNumber"/>
            <w:noProof/>
            <w:color w:val="808080" w:themeColor="background1" w:themeShade="80"/>
          </w:rPr>
          <w:t>5</w:t>
        </w:r>
        <w:r w:rsidRPr="00407A00">
          <w:rPr>
            <w:rStyle w:val="PageNumber"/>
            <w:color w:val="808080" w:themeColor="background1" w:themeShade="80"/>
          </w:rPr>
          <w:fldChar w:fldCharType="end"/>
        </w:r>
      </w:p>
    </w:sdtContent>
  </w:sdt>
  <w:p w14:paraId="718EA17B" w14:textId="7DFD322F" w:rsidR="008772E3" w:rsidRPr="00407A00" w:rsidRDefault="00FE476E" w:rsidP="00407A00">
    <w:pPr>
      <w:pStyle w:val="Footer"/>
      <w:ind w:right="360"/>
      <w:rPr>
        <w:rFonts w:asciiTheme="majorHAnsi" w:hAnsiTheme="majorHAnsi" w:cstheme="majorHAnsi"/>
        <w:color w:val="808080" w:themeColor="background1" w:themeShade="80"/>
        <w:sz w:val="22"/>
        <w:szCs w:val="22"/>
      </w:rPr>
    </w:pPr>
    <w:hyperlink r:id="rId1" w:history="1"/>
    <w:r w:rsidR="00407A00" w:rsidRPr="00407A00">
      <w:t xml:space="preserve">eComX.org </w:t>
    </w:r>
    <w:proofErr w:type="spellStart"/>
    <w:r w:rsidR="00407A00" w:rsidRPr="00407A00">
      <w:t>ist</w:t>
    </w:r>
    <w:proofErr w:type="spellEnd"/>
    <w:r w:rsidR="00407A00" w:rsidRPr="00407A00">
      <w:t xml:space="preserve"> </w:t>
    </w:r>
    <w:proofErr w:type="spellStart"/>
    <w:r w:rsidR="00407A00" w:rsidRPr="00407A00">
      <w:t>eine</w:t>
    </w:r>
    <w:proofErr w:type="spellEnd"/>
    <w:r w:rsidR="00407A00" w:rsidRPr="00407A00">
      <w:t xml:space="preserve"> </w:t>
    </w:r>
    <w:proofErr w:type="spellStart"/>
    <w:r w:rsidR="00407A00" w:rsidRPr="00407A00">
      <w:t>Nichtregierungsorganisation</w:t>
    </w:r>
    <w:proofErr w:type="spellEnd"/>
    <w:r w:rsidR="00407A00" w:rsidRPr="00407A00">
      <w:t>, die</w:t>
    </w:r>
    <w:r w:rsidR="00641229">
      <w:t xml:space="preserve"> auf den USA &amp; Schweiz </w:t>
    </w:r>
    <w:proofErr w:type="spellStart"/>
    <w:r w:rsidR="00641229">
      <w:t>basiert</w:t>
    </w:r>
    <w:proofErr w:type="spellEnd"/>
    <w:r w:rsidR="00641229">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2C277" w14:textId="77777777" w:rsidR="00FE476E" w:rsidRDefault="00FE476E" w:rsidP="00B340CE">
      <w:r>
        <w:separator/>
      </w:r>
    </w:p>
  </w:footnote>
  <w:footnote w:type="continuationSeparator" w:id="0">
    <w:p w14:paraId="09C18E68" w14:textId="77777777" w:rsidR="00FE476E" w:rsidRDefault="00FE476E" w:rsidP="00B340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230F3" w14:textId="0CAC8790" w:rsidR="002D4E3A" w:rsidRDefault="002D4E3A" w:rsidP="002D4E3A">
    <w:pPr>
      <w:pStyle w:val="Header"/>
      <w:jc w:val="center"/>
    </w:pPr>
    <w:r>
      <w:rPr>
        <w:noProof/>
      </w:rPr>
      <w:drawing>
        <wp:inline distT="0" distB="0" distL="0" distR="0" wp14:anchorId="51D952CA" wp14:editId="5D7E8DA6">
          <wp:extent cx="1000461" cy="900747"/>
          <wp:effectExtent l="0" t="0" r="317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omxLogo.png"/>
                  <pic:cNvPicPr/>
                </pic:nvPicPr>
                <pic:blipFill>
                  <a:blip r:embed="rId1">
                    <a:extLst>
                      <a:ext uri="{28A0092B-C50C-407E-A947-70E740481C1C}">
                        <a14:useLocalDpi xmlns:a14="http://schemas.microsoft.com/office/drawing/2010/main" val="0"/>
                      </a:ext>
                    </a:extLst>
                  </a:blip>
                  <a:stretch>
                    <a:fillRect/>
                  </a:stretch>
                </pic:blipFill>
                <pic:spPr>
                  <a:xfrm>
                    <a:off x="0" y="0"/>
                    <a:ext cx="1010546" cy="909827"/>
                  </a:xfrm>
                  <a:prstGeom prst="rect">
                    <a:avLst/>
                  </a:prstGeom>
                </pic:spPr>
              </pic:pic>
            </a:graphicData>
          </a:graphic>
        </wp:inline>
      </w:drawing>
    </w:r>
  </w:p>
  <w:p w14:paraId="4A3B774D" w14:textId="77777777" w:rsidR="002D4E3A" w:rsidRDefault="002D4E3A">
    <w:pPr>
      <w:pStyle w:val="Header"/>
    </w:pPr>
  </w:p>
  <w:p w14:paraId="113DDFBF" w14:textId="402EC2CE" w:rsidR="00B340CE" w:rsidRDefault="001E6ABF" w:rsidP="002D4E3A">
    <w:pPr>
      <w:pStyle w:val="Header"/>
      <w:jc w:val="center"/>
    </w:pPr>
    <w:r>
      <w:t>Die blockchain-Plattform für die Crypto-eCommerce Economy</w:t>
    </w:r>
  </w:p>
  <w:p w14:paraId="5F837271" w14:textId="77777777" w:rsidR="002D4E3A" w:rsidRPr="001E6ABF" w:rsidRDefault="002D4E3A" w:rsidP="002D4E3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E0752"/>
    <w:multiLevelType w:val="hybridMultilevel"/>
    <w:tmpl w:val="DF484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978B6"/>
    <w:multiLevelType w:val="hybridMultilevel"/>
    <w:tmpl w:val="6A303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115575"/>
    <w:multiLevelType w:val="hybridMultilevel"/>
    <w:tmpl w:val="CF4E6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B99"/>
    <w:rsid w:val="00051CB2"/>
    <w:rsid w:val="0007422F"/>
    <w:rsid w:val="000777E8"/>
    <w:rsid w:val="00091377"/>
    <w:rsid w:val="000D40F2"/>
    <w:rsid w:val="000F2944"/>
    <w:rsid w:val="00102688"/>
    <w:rsid w:val="00107E32"/>
    <w:rsid w:val="00122A58"/>
    <w:rsid w:val="00183EBD"/>
    <w:rsid w:val="00190D1F"/>
    <w:rsid w:val="00195CD8"/>
    <w:rsid w:val="001964F2"/>
    <w:rsid w:val="001B4A04"/>
    <w:rsid w:val="001D5FF9"/>
    <w:rsid w:val="001E6ABF"/>
    <w:rsid w:val="002274FA"/>
    <w:rsid w:val="00292921"/>
    <w:rsid w:val="002A4A25"/>
    <w:rsid w:val="002B4A12"/>
    <w:rsid w:val="002D4E3A"/>
    <w:rsid w:val="00321DF7"/>
    <w:rsid w:val="0034486C"/>
    <w:rsid w:val="003C35C2"/>
    <w:rsid w:val="00407A00"/>
    <w:rsid w:val="00423566"/>
    <w:rsid w:val="004379BF"/>
    <w:rsid w:val="00442150"/>
    <w:rsid w:val="00450BFD"/>
    <w:rsid w:val="0049196C"/>
    <w:rsid w:val="0049230A"/>
    <w:rsid w:val="004E1494"/>
    <w:rsid w:val="004F000F"/>
    <w:rsid w:val="004F20BE"/>
    <w:rsid w:val="00522F6E"/>
    <w:rsid w:val="00565F68"/>
    <w:rsid w:val="00580DE0"/>
    <w:rsid w:val="00594786"/>
    <w:rsid w:val="005A21DD"/>
    <w:rsid w:val="005D710F"/>
    <w:rsid w:val="00607BB7"/>
    <w:rsid w:val="006253E4"/>
    <w:rsid w:val="00637558"/>
    <w:rsid w:val="00641229"/>
    <w:rsid w:val="0065328B"/>
    <w:rsid w:val="0067694E"/>
    <w:rsid w:val="00680110"/>
    <w:rsid w:val="00687BAB"/>
    <w:rsid w:val="006A1122"/>
    <w:rsid w:val="006E6567"/>
    <w:rsid w:val="0071745C"/>
    <w:rsid w:val="00792A03"/>
    <w:rsid w:val="007A13D0"/>
    <w:rsid w:val="007B3EB4"/>
    <w:rsid w:val="007B4BF7"/>
    <w:rsid w:val="007D45F1"/>
    <w:rsid w:val="007D71A6"/>
    <w:rsid w:val="00810BD9"/>
    <w:rsid w:val="00866D68"/>
    <w:rsid w:val="00870963"/>
    <w:rsid w:val="00873EA5"/>
    <w:rsid w:val="008772E3"/>
    <w:rsid w:val="008D6A60"/>
    <w:rsid w:val="009019E5"/>
    <w:rsid w:val="0091117A"/>
    <w:rsid w:val="00927B90"/>
    <w:rsid w:val="00957151"/>
    <w:rsid w:val="00975E38"/>
    <w:rsid w:val="009C5FA3"/>
    <w:rsid w:val="009E4435"/>
    <w:rsid w:val="00A213C7"/>
    <w:rsid w:val="00A42DEE"/>
    <w:rsid w:val="00A46E4B"/>
    <w:rsid w:val="00A72402"/>
    <w:rsid w:val="00A94BBC"/>
    <w:rsid w:val="00AB3D26"/>
    <w:rsid w:val="00AD67AC"/>
    <w:rsid w:val="00AF07D2"/>
    <w:rsid w:val="00B054FA"/>
    <w:rsid w:val="00B106B7"/>
    <w:rsid w:val="00B340CE"/>
    <w:rsid w:val="00B6577D"/>
    <w:rsid w:val="00B72A29"/>
    <w:rsid w:val="00B868E7"/>
    <w:rsid w:val="00C23302"/>
    <w:rsid w:val="00C7233C"/>
    <w:rsid w:val="00C951F8"/>
    <w:rsid w:val="00D01042"/>
    <w:rsid w:val="00D15794"/>
    <w:rsid w:val="00D712B5"/>
    <w:rsid w:val="00D81A92"/>
    <w:rsid w:val="00D83552"/>
    <w:rsid w:val="00E24BC7"/>
    <w:rsid w:val="00E35F9F"/>
    <w:rsid w:val="00E72A54"/>
    <w:rsid w:val="00E830CB"/>
    <w:rsid w:val="00E86967"/>
    <w:rsid w:val="00E92441"/>
    <w:rsid w:val="00E974D7"/>
    <w:rsid w:val="00F37B5D"/>
    <w:rsid w:val="00F73B99"/>
    <w:rsid w:val="00F75066"/>
    <w:rsid w:val="00FC0C23"/>
    <w:rsid w:val="00FC5208"/>
    <w:rsid w:val="00FC7E1D"/>
    <w:rsid w:val="00FD0B2D"/>
    <w:rsid w:val="00FE22DC"/>
    <w:rsid w:val="00FE4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15336"/>
  <w15:chartTrackingRefBased/>
  <w15:docId w15:val="{2814E3C5-1EEA-D944-950A-ACDCD7C28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30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9230A"/>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Normal"/>
    <w:link w:val="Heading5Char"/>
    <w:uiPriority w:val="9"/>
    <w:unhideWhenUsed/>
    <w:qFormat/>
    <w:rsid w:val="0049230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3B99"/>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B340CE"/>
    <w:pPr>
      <w:tabs>
        <w:tab w:val="center" w:pos="4680"/>
        <w:tab w:val="right" w:pos="9360"/>
      </w:tabs>
    </w:pPr>
  </w:style>
  <w:style w:type="character" w:customStyle="1" w:styleId="HeaderChar">
    <w:name w:val="Header Char"/>
    <w:basedOn w:val="DefaultParagraphFont"/>
    <w:link w:val="Header"/>
    <w:uiPriority w:val="99"/>
    <w:rsid w:val="00B340CE"/>
  </w:style>
  <w:style w:type="paragraph" w:styleId="Footer">
    <w:name w:val="footer"/>
    <w:basedOn w:val="Normal"/>
    <w:link w:val="FooterChar"/>
    <w:uiPriority w:val="99"/>
    <w:unhideWhenUsed/>
    <w:rsid w:val="00B340CE"/>
    <w:pPr>
      <w:tabs>
        <w:tab w:val="center" w:pos="4680"/>
        <w:tab w:val="right" w:pos="9360"/>
      </w:tabs>
    </w:pPr>
  </w:style>
  <w:style w:type="character" w:customStyle="1" w:styleId="FooterChar">
    <w:name w:val="Footer Char"/>
    <w:basedOn w:val="DefaultParagraphFont"/>
    <w:link w:val="Footer"/>
    <w:uiPriority w:val="99"/>
    <w:rsid w:val="00B340CE"/>
  </w:style>
  <w:style w:type="paragraph" w:styleId="BalloonText">
    <w:name w:val="Balloon Text"/>
    <w:basedOn w:val="Normal"/>
    <w:link w:val="BalloonTextChar"/>
    <w:uiPriority w:val="99"/>
    <w:semiHidden/>
    <w:unhideWhenUsed/>
    <w:rsid w:val="00F37B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37B5D"/>
    <w:rPr>
      <w:rFonts w:ascii="Times New Roman" w:hAnsi="Times New Roman" w:cs="Times New Roman"/>
      <w:sz w:val="18"/>
      <w:szCs w:val="18"/>
    </w:rPr>
  </w:style>
  <w:style w:type="paragraph" w:styleId="ListParagraph">
    <w:name w:val="List Paragraph"/>
    <w:basedOn w:val="Normal"/>
    <w:uiPriority w:val="34"/>
    <w:qFormat/>
    <w:rsid w:val="00D01042"/>
    <w:pPr>
      <w:ind w:left="720"/>
      <w:contextualSpacing/>
    </w:pPr>
  </w:style>
  <w:style w:type="table" w:styleId="TableGrid">
    <w:name w:val="Table Grid"/>
    <w:basedOn w:val="TableNormal"/>
    <w:uiPriority w:val="39"/>
    <w:rsid w:val="000D40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923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9230A"/>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rsid w:val="0049230A"/>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407A00"/>
    <w:rPr>
      <w:color w:val="0563C1" w:themeColor="hyperlink"/>
      <w:u w:val="single"/>
    </w:rPr>
  </w:style>
  <w:style w:type="character" w:styleId="UnresolvedMention">
    <w:name w:val="Unresolved Mention"/>
    <w:basedOn w:val="DefaultParagraphFont"/>
    <w:uiPriority w:val="99"/>
    <w:semiHidden/>
    <w:unhideWhenUsed/>
    <w:rsid w:val="00407A00"/>
    <w:rPr>
      <w:color w:val="605E5C"/>
      <w:shd w:val="clear" w:color="auto" w:fill="E1DFDD"/>
    </w:rPr>
  </w:style>
  <w:style w:type="character" w:styleId="PageNumber">
    <w:name w:val="page number"/>
    <w:basedOn w:val="DefaultParagraphFont"/>
    <w:uiPriority w:val="99"/>
    <w:semiHidden/>
    <w:unhideWhenUsed/>
    <w:rsid w:val="00407A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601829">
      <w:bodyDiv w:val="1"/>
      <w:marLeft w:val="0"/>
      <w:marRight w:val="0"/>
      <w:marTop w:val="0"/>
      <w:marBottom w:val="0"/>
      <w:divBdr>
        <w:top w:val="none" w:sz="0" w:space="0" w:color="auto"/>
        <w:left w:val="none" w:sz="0" w:space="0" w:color="auto"/>
        <w:bottom w:val="none" w:sz="0" w:space="0" w:color="auto"/>
        <w:right w:val="none" w:sz="0" w:space="0" w:color="auto"/>
      </w:divBdr>
      <w:divsChild>
        <w:div w:id="1269309599">
          <w:marLeft w:val="0"/>
          <w:marRight w:val="0"/>
          <w:marTop w:val="0"/>
          <w:marBottom w:val="0"/>
          <w:divBdr>
            <w:top w:val="none" w:sz="0" w:space="0" w:color="auto"/>
            <w:left w:val="none" w:sz="0" w:space="0" w:color="auto"/>
            <w:bottom w:val="none" w:sz="0" w:space="0" w:color="auto"/>
            <w:right w:val="none" w:sz="0" w:space="0" w:color="auto"/>
          </w:divBdr>
          <w:divsChild>
            <w:div w:id="2085756932">
              <w:marLeft w:val="0"/>
              <w:marRight w:val="0"/>
              <w:marTop w:val="0"/>
              <w:marBottom w:val="0"/>
              <w:divBdr>
                <w:top w:val="none" w:sz="0" w:space="0" w:color="auto"/>
                <w:left w:val="none" w:sz="0" w:space="0" w:color="auto"/>
                <w:bottom w:val="none" w:sz="0" w:space="0" w:color="auto"/>
                <w:right w:val="none" w:sz="0" w:space="0" w:color="auto"/>
              </w:divBdr>
              <w:divsChild>
                <w:div w:id="756756623">
                  <w:marLeft w:val="0"/>
                  <w:marRight w:val="0"/>
                  <w:marTop w:val="0"/>
                  <w:marBottom w:val="0"/>
                  <w:divBdr>
                    <w:top w:val="none" w:sz="0" w:space="0" w:color="auto"/>
                    <w:left w:val="none" w:sz="0" w:space="0" w:color="auto"/>
                    <w:bottom w:val="none" w:sz="0" w:space="0" w:color="auto"/>
                    <w:right w:val="none" w:sz="0" w:space="0" w:color="auto"/>
                  </w:divBdr>
                  <w:divsChild>
                    <w:div w:id="145170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18975">
      <w:bodyDiv w:val="1"/>
      <w:marLeft w:val="0"/>
      <w:marRight w:val="0"/>
      <w:marTop w:val="0"/>
      <w:marBottom w:val="0"/>
      <w:divBdr>
        <w:top w:val="none" w:sz="0" w:space="0" w:color="auto"/>
        <w:left w:val="none" w:sz="0" w:space="0" w:color="auto"/>
        <w:bottom w:val="none" w:sz="0" w:space="0" w:color="auto"/>
        <w:right w:val="none" w:sz="0" w:space="0" w:color="auto"/>
      </w:divBdr>
      <w:divsChild>
        <w:div w:id="807938778">
          <w:marLeft w:val="0"/>
          <w:marRight w:val="0"/>
          <w:marTop w:val="0"/>
          <w:marBottom w:val="0"/>
          <w:divBdr>
            <w:top w:val="none" w:sz="0" w:space="0" w:color="auto"/>
            <w:left w:val="none" w:sz="0" w:space="0" w:color="auto"/>
            <w:bottom w:val="none" w:sz="0" w:space="0" w:color="auto"/>
            <w:right w:val="none" w:sz="0" w:space="0" w:color="auto"/>
          </w:divBdr>
          <w:divsChild>
            <w:div w:id="2022201865">
              <w:marLeft w:val="0"/>
              <w:marRight w:val="0"/>
              <w:marTop w:val="0"/>
              <w:marBottom w:val="0"/>
              <w:divBdr>
                <w:top w:val="none" w:sz="0" w:space="0" w:color="auto"/>
                <w:left w:val="none" w:sz="0" w:space="0" w:color="auto"/>
                <w:bottom w:val="none" w:sz="0" w:space="0" w:color="auto"/>
                <w:right w:val="none" w:sz="0" w:space="0" w:color="auto"/>
              </w:divBdr>
              <w:divsChild>
                <w:div w:id="1446537510">
                  <w:marLeft w:val="0"/>
                  <w:marRight w:val="0"/>
                  <w:marTop w:val="0"/>
                  <w:marBottom w:val="0"/>
                  <w:divBdr>
                    <w:top w:val="none" w:sz="0" w:space="0" w:color="auto"/>
                    <w:left w:val="none" w:sz="0" w:space="0" w:color="auto"/>
                    <w:bottom w:val="none" w:sz="0" w:space="0" w:color="auto"/>
                    <w:right w:val="none" w:sz="0" w:space="0" w:color="auto"/>
                  </w:divBdr>
                  <w:divsChild>
                    <w:div w:id="8971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347267">
      <w:bodyDiv w:val="1"/>
      <w:marLeft w:val="0"/>
      <w:marRight w:val="0"/>
      <w:marTop w:val="0"/>
      <w:marBottom w:val="0"/>
      <w:divBdr>
        <w:top w:val="none" w:sz="0" w:space="0" w:color="auto"/>
        <w:left w:val="none" w:sz="0" w:space="0" w:color="auto"/>
        <w:bottom w:val="none" w:sz="0" w:space="0" w:color="auto"/>
        <w:right w:val="none" w:sz="0" w:space="0" w:color="auto"/>
      </w:divBdr>
      <w:divsChild>
        <w:div w:id="284893073">
          <w:marLeft w:val="0"/>
          <w:marRight w:val="0"/>
          <w:marTop w:val="0"/>
          <w:marBottom w:val="0"/>
          <w:divBdr>
            <w:top w:val="none" w:sz="0" w:space="0" w:color="auto"/>
            <w:left w:val="none" w:sz="0" w:space="0" w:color="auto"/>
            <w:bottom w:val="none" w:sz="0" w:space="0" w:color="auto"/>
            <w:right w:val="none" w:sz="0" w:space="0" w:color="auto"/>
          </w:divBdr>
          <w:divsChild>
            <w:div w:id="97986536">
              <w:marLeft w:val="0"/>
              <w:marRight w:val="0"/>
              <w:marTop w:val="0"/>
              <w:marBottom w:val="0"/>
              <w:divBdr>
                <w:top w:val="none" w:sz="0" w:space="0" w:color="auto"/>
                <w:left w:val="none" w:sz="0" w:space="0" w:color="auto"/>
                <w:bottom w:val="none" w:sz="0" w:space="0" w:color="auto"/>
                <w:right w:val="none" w:sz="0" w:space="0" w:color="auto"/>
              </w:divBdr>
              <w:divsChild>
                <w:div w:id="704066380">
                  <w:marLeft w:val="0"/>
                  <w:marRight w:val="0"/>
                  <w:marTop w:val="0"/>
                  <w:marBottom w:val="0"/>
                  <w:divBdr>
                    <w:top w:val="none" w:sz="0" w:space="0" w:color="auto"/>
                    <w:left w:val="none" w:sz="0" w:space="0" w:color="auto"/>
                    <w:bottom w:val="none" w:sz="0" w:space="0" w:color="auto"/>
                    <w:right w:val="none" w:sz="0" w:space="0" w:color="auto"/>
                  </w:divBdr>
                  <w:divsChild>
                    <w:div w:id="47305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015096">
      <w:bodyDiv w:val="1"/>
      <w:marLeft w:val="0"/>
      <w:marRight w:val="0"/>
      <w:marTop w:val="0"/>
      <w:marBottom w:val="0"/>
      <w:divBdr>
        <w:top w:val="none" w:sz="0" w:space="0" w:color="auto"/>
        <w:left w:val="none" w:sz="0" w:space="0" w:color="auto"/>
        <w:bottom w:val="none" w:sz="0" w:space="0" w:color="auto"/>
        <w:right w:val="none" w:sz="0" w:space="0" w:color="auto"/>
      </w:divBdr>
      <w:divsChild>
        <w:div w:id="1803619409">
          <w:marLeft w:val="0"/>
          <w:marRight w:val="0"/>
          <w:marTop w:val="0"/>
          <w:marBottom w:val="0"/>
          <w:divBdr>
            <w:top w:val="none" w:sz="0" w:space="0" w:color="auto"/>
            <w:left w:val="none" w:sz="0" w:space="0" w:color="auto"/>
            <w:bottom w:val="none" w:sz="0" w:space="0" w:color="auto"/>
            <w:right w:val="none" w:sz="0" w:space="0" w:color="auto"/>
          </w:divBdr>
          <w:divsChild>
            <w:div w:id="1904292733">
              <w:marLeft w:val="0"/>
              <w:marRight w:val="0"/>
              <w:marTop w:val="0"/>
              <w:marBottom w:val="0"/>
              <w:divBdr>
                <w:top w:val="none" w:sz="0" w:space="0" w:color="auto"/>
                <w:left w:val="none" w:sz="0" w:space="0" w:color="auto"/>
                <w:bottom w:val="none" w:sz="0" w:space="0" w:color="auto"/>
                <w:right w:val="none" w:sz="0" w:space="0" w:color="auto"/>
              </w:divBdr>
              <w:divsChild>
                <w:div w:id="370960151">
                  <w:marLeft w:val="0"/>
                  <w:marRight w:val="0"/>
                  <w:marTop w:val="0"/>
                  <w:marBottom w:val="0"/>
                  <w:divBdr>
                    <w:top w:val="none" w:sz="0" w:space="0" w:color="auto"/>
                    <w:left w:val="none" w:sz="0" w:space="0" w:color="auto"/>
                    <w:bottom w:val="none" w:sz="0" w:space="0" w:color="auto"/>
                    <w:right w:val="none" w:sz="0" w:space="0" w:color="auto"/>
                  </w:divBdr>
                  <w:divsChild>
                    <w:div w:id="10200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886974">
      <w:bodyDiv w:val="1"/>
      <w:marLeft w:val="0"/>
      <w:marRight w:val="0"/>
      <w:marTop w:val="0"/>
      <w:marBottom w:val="0"/>
      <w:divBdr>
        <w:top w:val="none" w:sz="0" w:space="0" w:color="auto"/>
        <w:left w:val="none" w:sz="0" w:space="0" w:color="auto"/>
        <w:bottom w:val="none" w:sz="0" w:space="0" w:color="auto"/>
        <w:right w:val="none" w:sz="0" w:space="0" w:color="auto"/>
      </w:divBdr>
    </w:div>
    <w:div w:id="616065014">
      <w:bodyDiv w:val="1"/>
      <w:marLeft w:val="0"/>
      <w:marRight w:val="0"/>
      <w:marTop w:val="0"/>
      <w:marBottom w:val="0"/>
      <w:divBdr>
        <w:top w:val="none" w:sz="0" w:space="0" w:color="auto"/>
        <w:left w:val="none" w:sz="0" w:space="0" w:color="auto"/>
        <w:bottom w:val="none" w:sz="0" w:space="0" w:color="auto"/>
        <w:right w:val="none" w:sz="0" w:space="0" w:color="auto"/>
      </w:divBdr>
      <w:divsChild>
        <w:div w:id="267544134">
          <w:marLeft w:val="0"/>
          <w:marRight w:val="0"/>
          <w:marTop w:val="0"/>
          <w:marBottom w:val="0"/>
          <w:divBdr>
            <w:top w:val="none" w:sz="0" w:space="0" w:color="auto"/>
            <w:left w:val="none" w:sz="0" w:space="0" w:color="auto"/>
            <w:bottom w:val="none" w:sz="0" w:space="0" w:color="auto"/>
            <w:right w:val="none" w:sz="0" w:space="0" w:color="auto"/>
          </w:divBdr>
          <w:divsChild>
            <w:div w:id="858154482">
              <w:marLeft w:val="0"/>
              <w:marRight w:val="0"/>
              <w:marTop w:val="0"/>
              <w:marBottom w:val="0"/>
              <w:divBdr>
                <w:top w:val="none" w:sz="0" w:space="0" w:color="auto"/>
                <w:left w:val="none" w:sz="0" w:space="0" w:color="auto"/>
                <w:bottom w:val="none" w:sz="0" w:space="0" w:color="auto"/>
                <w:right w:val="none" w:sz="0" w:space="0" w:color="auto"/>
              </w:divBdr>
              <w:divsChild>
                <w:div w:id="678851533">
                  <w:marLeft w:val="0"/>
                  <w:marRight w:val="0"/>
                  <w:marTop w:val="0"/>
                  <w:marBottom w:val="0"/>
                  <w:divBdr>
                    <w:top w:val="none" w:sz="0" w:space="0" w:color="auto"/>
                    <w:left w:val="none" w:sz="0" w:space="0" w:color="auto"/>
                    <w:bottom w:val="none" w:sz="0" w:space="0" w:color="auto"/>
                    <w:right w:val="none" w:sz="0" w:space="0" w:color="auto"/>
                  </w:divBdr>
                  <w:divsChild>
                    <w:div w:id="129062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627850">
      <w:bodyDiv w:val="1"/>
      <w:marLeft w:val="0"/>
      <w:marRight w:val="0"/>
      <w:marTop w:val="0"/>
      <w:marBottom w:val="0"/>
      <w:divBdr>
        <w:top w:val="none" w:sz="0" w:space="0" w:color="auto"/>
        <w:left w:val="none" w:sz="0" w:space="0" w:color="auto"/>
        <w:bottom w:val="none" w:sz="0" w:space="0" w:color="auto"/>
        <w:right w:val="none" w:sz="0" w:space="0" w:color="auto"/>
      </w:divBdr>
      <w:divsChild>
        <w:div w:id="1204292580">
          <w:marLeft w:val="0"/>
          <w:marRight w:val="0"/>
          <w:marTop w:val="0"/>
          <w:marBottom w:val="0"/>
          <w:divBdr>
            <w:top w:val="none" w:sz="0" w:space="0" w:color="auto"/>
            <w:left w:val="none" w:sz="0" w:space="0" w:color="auto"/>
            <w:bottom w:val="none" w:sz="0" w:space="0" w:color="auto"/>
            <w:right w:val="none" w:sz="0" w:space="0" w:color="auto"/>
          </w:divBdr>
          <w:divsChild>
            <w:div w:id="1684354167">
              <w:marLeft w:val="0"/>
              <w:marRight w:val="0"/>
              <w:marTop w:val="0"/>
              <w:marBottom w:val="0"/>
              <w:divBdr>
                <w:top w:val="none" w:sz="0" w:space="0" w:color="auto"/>
                <w:left w:val="none" w:sz="0" w:space="0" w:color="auto"/>
                <w:bottom w:val="none" w:sz="0" w:space="0" w:color="auto"/>
                <w:right w:val="none" w:sz="0" w:space="0" w:color="auto"/>
              </w:divBdr>
              <w:divsChild>
                <w:div w:id="1222253259">
                  <w:marLeft w:val="0"/>
                  <w:marRight w:val="0"/>
                  <w:marTop w:val="0"/>
                  <w:marBottom w:val="0"/>
                  <w:divBdr>
                    <w:top w:val="none" w:sz="0" w:space="0" w:color="auto"/>
                    <w:left w:val="none" w:sz="0" w:space="0" w:color="auto"/>
                    <w:bottom w:val="none" w:sz="0" w:space="0" w:color="auto"/>
                    <w:right w:val="none" w:sz="0" w:space="0" w:color="auto"/>
                  </w:divBdr>
                  <w:divsChild>
                    <w:div w:id="183475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445279">
      <w:bodyDiv w:val="1"/>
      <w:marLeft w:val="0"/>
      <w:marRight w:val="0"/>
      <w:marTop w:val="0"/>
      <w:marBottom w:val="0"/>
      <w:divBdr>
        <w:top w:val="none" w:sz="0" w:space="0" w:color="auto"/>
        <w:left w:val="none" w:sz="0" w:space="0" w:color="auto"/>
        <w:bottom w:val="none" w:sz="0" w:space="0" w:color="auto"/>
        <w:right w:val="none" w:sz="0" w:space="0" w:color="auto"/>
      </w:divBdr>
      <w:divsChild>
        <w:div w:id="1375931798">
          <w:marLeft w:val="0"/>
          <w:marRight w:val="0"/>
          <w:marTop w:val="0"/>
          <w:marBottom w:val="0"/>
          <w:divBdr>
            <w:top w:val="none" w:sz="0" w:space="0" w:color="auto"/>
            <w:left w:val="none" w:sz="0" w:space="0" w:color="auto"/>
            <w:bottom w:val="none" w:sz="0" w:space="0" w:color="auto"/>
            <w:right w:val="none" w:sz="0" w:space="0" w:color="auto"/>
          </w:divBdr>
          <w:divsChild>
            <w:div w:id="841093138">
              <w:marLeft w:val="0"/>
              <w:marRight w:val="0"/>
              <w:marTop w:val="0"/>
              <w:marBottom w:val="0"/>
              <w:divBdr>
                <w:top w:val="none" w:sz="0" w:space="0" w:color="auto"/>
                <w:left w:val="none" w:sz="0" w:space="0" w:color="auto"/>
                <w:bottom w:val="none" w:sz="0" w:space="0" w:color="auto"/>
                <w:right w:val="none" w:sz="0" w:space="0" w:color="auto"/>
              </w:divBdr>
              <w:divsChild>
                <w:div w:id="1992326388">
                  <w:marLeft w:val="0"/>
                  <w:marRight w:val="0"/>
                  <w:marTop w:val="0"/>
                  <w:marBottom w:val="0"/>
                  <w:divBdr>
                    <w:top w:val="none" w:sz="0" w:space="0" w:color="auto"/>
                    <w:left w:val="none" w:sz="0" w:space="0" w:color="auto"/>
                    <w:bottom w:val="none" w:sz="0" w:space="0" w:color="auto"/>
                    <w:right w:val="none" w:sz="0" w:space="0" w:color="auto"/>
                  </w:divBdr>
                </w:div>
                <w:div w:id="1214922607">
                  <w:marLeft w:val="0"/>
                  <w:marRight w:val="0"/>
                  <w:marTop w:val="0"/>
                  <w:marBottom w:val="0"/>
                  <w:divBdr>
                    <w:top w:val="none" w:sz="0" w:space="0" w:color="auto"/>
                    <w:left w:val="none" w:sz="0" w:space="0" w:color="auto"/>
                    <w:bottom w:val="none" w:sz="0" w:space="0" w:color="auto"/>
                    <w:right w:val="none" w:sz="0" w:space="0" w:color="auto"/>
                  </w:divBdr>
                </w:div>
              </w:divsChild>
            </w:div>
            <w:div w:id="73555303">
              <w:marLeft w:val="0"/>
              <w:marRight w:val="0"/>
              <w:marTop w:val="0"/>
              <w:marBottom w:val="0"/>
              <w:divBdr>
                <w:top w:val="none" w:sz="0" w:space="0" w:color="auto"/>
                <w:left w:val="none" w:sz="0" w:space="0" w:color="auto"/>
                <w:bottom w:val="none" w:sz="0" w:space="0" w:color="auto"/>
                <w:right w:val="none" w:sz="0" w:space="0" w:color="auto"/>
              </w:divBdr>
              <w:divsChild>
                <w:div w:id="5501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89987">
      <w:bodyDiv w:val="1"/>
      <w:marLeft w:val="0"/>
      <w:marRight w:val="0"/>
      <w:marTop w:val="0"/>
      <w:marBottom w:val="0"/>
      <w:divBdr>
        <w:top w:val="none" w:sz="0" w:space="0" w:color="auto"/>
        <w:left w:val="none" w:sz="0" w:space="0" w:color="auto"/>
        <w:bottom w:val="none" w:sz="0" w:space="0" w:color="auto"/>
        <w:right w:val="none" w:sz="0" w:space="0" w:color="auto"/>
      </w:divBdr>
      <w:divsChild>
        <w:div w:id="1402101658">
          <w:marLeft w:val="0"/>
          <w:marRight w:val="0"/>
          <w:marTop w:val="0"/>
          <w:marBottom w:val="0"/>
          <w:divBdr>
            <w:top w:val="none" w:sz="0" w:space="0" w:color="auto"/>
            <w:left w:val="none" w:sz="0" w:space="0" w:color="auto"/>
            <w:bottom w:val="none" w:sz="0" w:space="0" w:color="auto"/>
            <w:right w:val="none" w:sz="0" w:space="0" w:color="auto"/>
          </w:divBdr>
          <w:divsChild>
            <w:div w:id="715081788">
              <w:marLeft w:val="0"/>
              <w:marRight w:val="0"/>
              <w:marTop w:val="0"/>
              <w:marBottom w:val="0"/>
              <w:divBdr>
                <w:top w:val="none" w:sz="0" w:space="0" w:color="auto"/>
                <w:left w:val="none" w:sz="0" w:space="0" w:color="auto"/>
                <w:bottom w:val="none" w:sz="0" w:space="0" w:color="auto"/>
                <w:right w:val="none" w:sz="0" w:space="0" w:color="auto"/>
              </w:divBdr>
              <w:divsChild>
                <w:div w:id="623075226">
                  <w:marLeft w:val="0"/>
                  <w:marRight w:val="0"/>
                  <w:marTop w:val="0"/>
                  <w:marBottom w:val="0"/>
                  <w:divBdr>
                    <w:top w:val="none" w:sz="0" w:space="0" w:color="auto"/>
                    <w:left w:val="none" w:sz="0" w:space="0" w:color="auto"/>
                    <w:bottom w:val="none" w:sz="0" w:space="0" w:color="auto"/>
                    <w:right w:val="none" w:sz="0" w:space="0" w:color="auto"/>
                  </w:divBdr>
                  <w:divsChild>
                    <w:div w:id="33090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229473">
      <w:bodyDiv w:val="1"/>
      <w:marLeft w:val="0"/>
      <w:marRight w:val="0"/>
      <w:marTop w:val="0"/>
      <w:marBottom w:val="0"/>
      <w:divBdr>
        <w:top w:val="none" w:sz="0" w:space="0" w:color="auto"/>
        <w:left w:val="none" w:sz="0" w:space="0" w:color="auto"/>
        <w:bottom w:val="none" w:sz="0" w:space="0" w:color="auto"/>
        <w:right w:val="none" w:sz="0" w:space="0" w:color="auto"/>
      </w:divBdr>
      <w:divsChild>
        <w:div w:id="665284063">
          <w:marLeft w:val="0"/>
          <w:marRight w:val="0"/>
          <w:marTop w:val="0"/>
          <w:marBottom w:val="0"/>
          <w:divBdr>
            <w:top w:val="none" w:sz="0" w:space="0" w:color="auto"/>
            <w:left w:val="none" w:sz="0" w:space="0" w:color="auto"/>
            <w:bottom w:val="none" w:sz="0" w:space="0" w:color="auto"/>
            <w:right w:val="none" w:sz="0" w:space="0" w:color="auto"/>
          </w:divBdr>
          <w:divsChild>
            <w:div w:id="484585393">
              <w:marLeft w:val="0"/>
              <w:marRight w:val="0"/>
              <w:marTop w:val="0"/>
              <w:marBottom w:val="0"/>
              <w:divBdr>
                <w:top w:val="none" w:sz="0" w:space="0" w:color="auto"/>
                <w:left w:val="none" w:sz="0" w:space="0" w:color="auto"/>
                <w:bottom w:val="none" w:sz="0" w:space="0" w:color="auto"/>
                <w:right w:val="none" w:sz="0" w:space="0" w:color="auto"/>
              </w:divBdr>
              <w:divsChild>
                <w:div w:id="1564873733">
                  <w:marLeft w:val="0"/>
                  <w:marRight w:val="0"/>
                  <w:marTop w:val="0"/>
                  <w:marBottom w:val="0"/>
                  <w:divBdr>
                    <w:top w:val="none" w:sz="0" w:space="0" w:color="auto"/>
                    <w:left w:val="none" w:sz="0" w:space="0" w:color="auto"/>
                    <w:bottom w:val="none" w:sz="0" w:space="0" w:color="auto"/>
                    <w:right w:val="none" w:sz="0" w:space="0" w:color="auto"/>
                  </w:divBdr>
                </w:div>
              </w:divsChild>
            </w:div>
            <w:div w:id="1373076753">
              <w:marLeft w:val="0"/>
              <w:marRight w:val="0"/>
              <w:marTop w:val="0"/>
              <w:marBottom w:val="0"/>
              <w:divBdr>
                <w:top w:val="none" w:sz="0" w:space="0" w:color="auto"/>
                <w:left w:val="none" w:sz="0" w:space="0" w:color="auto"/>
                <w:bottom w:val="none" w:sz="0" w:space="0" w:color="auto"/>
                <w:right w:val="none" w:sz="0" w:space="0" w:color="auto"/>
              </w:divBdr>
              <w:divsChild>
                <w:div w:id="922880369">
                  <w:marLeft w:val="0"/>
                  <w:marRight w:val="0"/>
                  <w:marTop w:val="0"/>
                  <w:marBottom w:val="0"/>
                  <w:divBdr>
                    <w:top w:val="none" w:sz="0" w:space="0" w:color="auto"/>
                    <w:left w:val="none" w:sz="0" w:space="0" w:color="auto"/>
                    <w:bottom w:val="none" w:sz="0" w:space="0" w:color="auto"/>
                    <w:right w:val="none" w:sz="0" w:space="0" w:color="auto"/>
                  </w:divBdr>
                </w:div>
              </w:divsChild>
            </w:div>
            <w:div w:id="1016152950">
              <w:marLeft w:val="0"/>
              <w:marRight w:val="0"/>
              <w:marTop w:val="0"/>
              <w:marBottom w:val="0"/>
              <w:divBdr>
                <w:top w:val="none" w:sz="0" w:space="0" w:color="auto"/>
                <w:left w:val="none" w:sz="0" w:space="0" w:color="auto"/>
                <w:bottom w:val="none" w:sz="0" w:space="0" w:color="auto"/>
                <w:right w:val="none" w:sz="0" w:space="0" w:color="auto"/>
              </w:divBdr>
              <w:divsChild>
                <w:div w:id="64208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53844">
          <w:marLeft w:val="0"/>
          <w:marRight w:val="0"/>
          <w:marTop w:val="0"/>
          <w:marBottom w:val="0"/>
          <w:divBdr>
            <w:top w:val="none" w:sz="0" w:space="0" w:color="auto"/>
            <w:left w:val="none" w:sz="0" w:space="0" w:color="auto"/>
            <w:bottom w:val="none" w:sz="0" w:space="0" w:color="auto"/>
            <w:right w:val="none" w:sz="0" w:space="0" w:color="auto"/>
          </w:divBdr>
          <w:divsChild>
            <w:div w:id="2029257444">
              <w:marLeft w:val="0"/>
              <w:marRight w:val="0"/>
              <w:marTop w:val="0"/>
              <w:marBottom w:val="0"/>
              <w:divBdr>
                <w:top w:val="none" w:sz="0" w:space="0" w:color="auto"/>
                <w:left w:val="none" w:sz="0" w:space="0" w:color="auto"/>
                <w:bottom w:val="none" w:sz="0" w:space="0" w:color="auto"/>
                <w:right w:val="none" w:sz="0" w:space="0" w:color="auto"/>
              </w:divBdr>
              <w:divsChild>
                <w:div w:id="765922144">
                  <w:marLeft w:val="0"/>
                  <w:marRight w:val="0"/>
                  <w:marTop w:val="0"/>
                  <w:marBottom w:val="0"/>
                  <w:divBdr>
                    <w:top w:val="none" w:sz="0" w:space="0" w:color="auto"/>
                    <w:left w:val="none" w:sz="0" w:space="0" w:color="auto"/>
                    <w:bottom w:val="none" w:sz="0" w:space="0" w:color="auto"/>
                    <w:right w:val="none" w:sz="0" w:space="0" w:color="auto"/>
                  </w:divBdr>
                </w:div>
              </w:divsChild>
            </w:div>
            <w:div w:id="2026444547">
              <w:marLeft w:val="0"/>
              <w:marRight w:val="0"/>
              <w:marTop w:val="0"/>
              <w:marBottom w:val="0"/>
              <w:divBdr>
                <w:top w:val="none" w:sz="0" w:space="0" w:color="auto"/>
                <w:left w:val="none" w:sz="0" w:space="0" w:color="auto"/>
                <w:bottom w:val="none" w:sz="0" w:space="0" w:color="auto"/>
                <w:right w:val="none" w:sz="0" w:space="0" w:color="auto"/>
              </w:divBdr>
              <w:divsChild>
                <w:div w:id="1651014941">
                  <w:marLeft w:val="0"/>
                  <w:marRight w:val="0"/>
                  <w:marTop w:val="0"/>
                  <w:marBottom w:val="0"/>
                  <w:divBdr>
                    <w:top w:val="none" w:sz="0" w:space="0" w:color="auto"/>
                    <w:left w:val="none" w:sz="0" w:space="0" w:color="auto"/>
                    <w:bottom w:val="none" w:sz="0" w:space="0" w:color="auto"/>
                    <w:right w:val="none" w:sz="0" w:space="0" w:color="auto"/>
                  </w:divBdr>
                </w:div>
              </w:divsChild>
            </w:div>
            <w:div w:id="936014072">
              <w:marLeft w:val="0"/>
              <w:marRight w:val="0"/>
              <w:marTop w:val="0"/>
              <w:marBottom w:val="0"/>
              <w:divBdr>
                <w:top w:val="none" w:sz="0" w:space="0" w:color="auto"/>
                <w:left w:val="none" w:sz="0" w:space="0" w:color="auto"/>
                <w:bottom w:val="none" w:sz="0" w:space="0" w:color="auto"/>
                <w:right w:val="none" w:sz="0" w:space="0" w:color="auto"/>
              </w:divBdr>
              <w:divsChild>
                <w:div w:id="155577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3053">
          <w:marLeft w:val="0"/>
          <w:marRight w:val="0"/>
          <w:marTop w:val="0"/>
          <w:marBottom w:val="0"/>
          <w:divBdr>
            <w:top w:val="none" w:sz="0" w:space="0" w:color="auto"/>
            <w:left w:val="none" w:sz="0" w:space="0" w:color="auto"/>
            <w:bottom w:val="none" w:sz="0" w:space="0" w:color="auto"/>
            <w:right w:val="none" w:sz="0" w:space="0" w:color="auto"/>
          </w:divBdr>
          <w:divsChild>
            <w:div w:id="951942146">
              <w:marLeft w:val="0"/>
              <w:marRight w:val="0"/>
              <w:marTop w:val="0"/>
              <w:marBottom w:val="0"/>
              <w:divBdr>
                <w:top w:val="none" w:sz="0" w:space="0" w:color="auto"/>
                <w:left w:val="none" w:sz="0" w:space="0" w:color="auto"/>
                <w:bottom w:val="none" w:sz="0" w:space="0" w:color="auto"/>
                <w:right w:val="none" w:sz="0" w:space="0" w:color="auto"/>
              </w:divBdr>
              <w:divsChild>
                <w:div w:id="1032421146">
                  <w:marLeft w:val="0"/>
                  <w:marRight w:val="0"/>
                  <w:marTop w:val="0"/>
                  <w:marBottom w:val="0"/>
                  <w:divBdr>
                    <w:top w:val="none" w:sz="0" w:space="0" w:color="auto"/>
                    <w:left w:val="none" w:sz="0" w:space="0" w:color="auto"/>
                    <w:bottom w:val="none" w:sz="0" w:space="0" w:color="auto"/>
                    <w:right w:val="none" w:sz="0" w:space="0" w:color="auto"/>
                  </w:divBdr>
                </w:div>
              </w:divsChild>
            </w:div>
            <w:div w:id="1102605357">
              <w:marLeft w:val="0"/>
              <w:marRight w:val="0"/>
              <w:marTop w:val="0"/>
              <w:marBottom w:val="0"/>
              <w:divBdr>
                <w:top w:val="none" w:sz="0" w:space="0" w:color="auto"/>
                <w:left w:val="none" w:sz="0" w:space="0" w:color="auto"/>
                <w:bottom w:val="none" w:sz="0" w:space="0" w:color="auto"/>
                <w:right w:val="none" w:sz="0" w:space="0" w:color="auto"/>
              </w:divBdr>
              <w:divsChild>
                <w:div w:id="411244087">
                  <w:marLeft w:val="0"/>
                  <w:marRight w:val="0"/>
                  <w:marTop w:val="0"/>
                  <w:marBottom w:val="0"/>
                  <w:divBdr>
                    <w:top w:val="none" w:sz="0" w:space="0" w:color="auto"/>
                    <w:left w:val="none" w:sz="0" w:space="0" w:color="auto"/>
                    <w:bottom w:val="none" w:sz="0" w:space="0" w:color="auto"/>
                    <w:right w:val="none" w:sz="0" w:space="0" w:color="auto"/>
                  </w:divBdr>
                </w:div>
                <w:div w:id="1278219624">
                  <w:marLeft w:val="0"/>
                  <w:marRight w:val="0"/>
                  <w:marTop w:val="0"/>
                  <w:marBottom w:val="0"/>
                  <w:divBdr>
                    <w:top w:val="none" w:sz="0" w:space="0" w:color="auto"/>
                    <w:left w:val="none" w:sz="0" w:space="0" w:color="auto"/>
                    <w:bottom w:val="none" w:sz="0" w:space="0" w:color="auto"/>
                    <w:right w:val="none" w:sz="0" w:space="0" w:color="auto"/>
                  </w:divBdr>
                </w:div>
              </w:divsChild>
            </w:div>
            <w:div w:id="599148764">
              <w:marLeft w:val="0"/>
              <w:marRight w:val="0"/>
              <w:marTop w:val="0"/>
              <w:marBottom w:val="0"/>
              <w:divBdr>
                <w:top w:val="none" w:sz="0" w:space="0" w:color="auto"/>
                <w:left w:val="none" w:sz="0" w:space="0" w:color="auto"/>
                <w:bottom w:val="none" w:sz="0" w:space="0" w:color="auto"/>
                <w:right w:val="none" w:sz="0" w:space="0" w:color="auto"/>
              </w:divBdr>
              <w:divsChild>
                <w:div w:id="501353417">
                  <w:marLeft w:val="0"/>
                  <w:marRight w:val="0"/>
                  <w:marTop w:val="0"/>
                  <w:marBottom w:val="0"/>
                  <w:divBdr>
                    <w:top w:val="none" w:sz="0" w:space="0" w:color="auto"/>
                    <w:left w:val="none" w:sz="0" w:space="0" w:color="auto"/>
                    <w:bottom w:val="none" w:sz="0" w:space="0" w:color="auto"/>
                    <w:right w:val="none" w:sz="0" w:space="0" w:color="auto"/>
                  </w:divBdr>
                </w:div>
              </w:divsChild>
            </w:div>
            <w:div w:id="1639452497">
              <w:marLeft w:val="0"/>
              <w:marRight w:val="0"/>
              <w:marTop w:val="0"/>
              <w:marBottom w:val="0"/>
              <w:divBdr>
                <w:top w:val="none" w:sz="0" w:space="0" w:color="auto"/>
                <w:left w:val="none" w:sz="0" w:space="0" w:color="auto"/>
                <w:bottom w:val="none" w:sz="0" w:space="0" w:color="auto"/>
                <w:right w:val="none" w:sz="0" w:space="0" w:color="auto"/>
              </w:divBdr>
              <w:divsChild>
                <w:div w:id="85396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015056">
      <w:bodyDiv w:val="1"/>
      <w:marLeft w:val="0"/>
      <w:marRight w:val="0"/>
      <w:marTop w:val="0"/>
      <w:marBottom w:val="0"/>
      <w:divBdr>
        <w:top w:val="none" w:sz="0" w:space="0" w:color="auto"/>
        <w:left w:val="none" w:sz="0" w:space="0" w:color="auto"/>
        <w:bottom w:val="none" w:sz="0" w:space="0" w:color="auto"/>
        <w:right w:val="none" w:sz="0" w:space="0" w:color="auto"/>
      </w:divBdr>
      <w:divsChild>
        <w:div w:id="1743408996">
          <w:marLeft w:val="0"/>
          <w:marRight w:val="0"/>
          <w:marTop w:val="0"/>
          <w:marBottom w:val="0"/>
          <w:divBdr>
            <w:top w:val="none" w:sz="0" w:space="0" w:color="auto"/>
            <w:left w:val="none" w:sz="0" w:space="0" w:color="auto"/>
            <w:bottom w:val="none" w:sz="0" w:space="0" w:color="auto"/>
            <w:right w:val="none" w:sz="0" w:space="0" w:color="auto"/>
          </w:divBdr>
          <w:divsChild>
            <w:div w:id="885986411">
              <w:marLeft w:val="0"/>
              <w:marRight w:val="0"/>
              <w:marTop w:val="0"/>
              <w:marBottom w:val="0"/>
              <w:divBdr>
                <w:top w:val="none" w:sz="0" w:space="0" w:color="auto"/>
                <w:left w:val="none" w:sz="0" w:space="0" w:color="auto"/>
                <w:bottom w:val="none" w:sz="0" w:space="0" w:color="auto"/>
                <w:right w:val="none" w:sz="0" w:space="0" w:color="auto"/>
              </w:divBdr>
              <w:divsChild>
                <w:div w:id="2018145623">
                  <w:marLeft w:val="0"/>
                  <w:marRight w:val="0"/>
                  <w:marTop w:val="0"/>
                  <w:marBottom w:val="0"/>
                  <w:divBdr>
                    <w:top w:val="none" w:sz="0" w:space="0" w:color="auto"/>
                    <w:left w:val="none" w:sz="0" w:space="0" w:color="auto"/>
                    <w:bottom w:val="none" w:sz="0" w:space="0" w:color="auto"/>
                    <w:right w:val="none" w:sz="0" w:space="0" w:color="auto"/>
                  </w:divBdr>
                  <w:divsChild>
                    <w:div w:id="47907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130581">
      <w:bodyDiv w:val="1"/>
      <w:marLeft w:val="0"/>
      <w:marRight w:val="0"/>
      <w:marTop w:val="0"/>
      <w:marBottom w:val="0"/>
      <w:divBdr>
        <w:top w:val="none" w:sz="0" w:space="0" w:color="auto"/>
        <w:left w:val="none" w:sz="0" w:space="0" w:color="auto"/>
        <w:bottom w:val="none" w:sz="0" w:space="0" w:color="auto"/>
        <w:right w:val="none" w:sz="0" w:space="0" w:color="auto"/>
      </w:divBdr>
      <w:divsChild>
        <w:div w:id="120925843">
          <w:marLeft w:val="0"/>
          <w:marRight w:val="0"/>
          <w:marTop w:val="0"/>
          <w:marBottom w:val="0"/>
          <w:divBdr>
            <w:top w:val="none" w:sz="0" w:space="0" w:color="auto"/>
            <w:left w:val="none" w:sz="0" w:space="0" w:color="auto"/>
            <w:bottom w:val="none" w:sz="0" w:space="0" w:color="auto"/>
            <w:right w:val="none" w:sz="0" w:space="0" w:color="auto"/>
          </w:divBdr>
          <w:divsChild>
            <w:div w:id="1101487364">
              <w:marLeft w:val="0"/>
              <w:marRight w:val="0"/>
              <w:marTop w:val="0"/>
              <w:marBottom w:val="0"/>
              <w:divBdr>
                <w:top w:val="none" w:sz="0" w:space="0" w:color="auto"/>
                <w:left w:val="none" w:sz="0" w:space="0" w:color="auto"/>
                <w:bottom w:val="none" w:sz="0" w:space="0" w:color="auto"/>
                <w:right w:val="none" w:sz="0" w:space="0" w:color="auto"/>
              </w:divBdr>
              <w:divsChild>
                <w:div w:id="1254436489">
                  <w:marLeft w:val="0"/>
                  <w:marRight w:val="0"/>
                  <w:marTop w:val="0"/>
                  <w:marBottom w:val="0"/>
                  <w:divBdr>
                    <w:top w:val="none" w:sz="0" w:space="0" w:color="auto"/>
                    <w:left w:val="none" w:sz="0" w:space="0" w:color="auto"/>
                    <w:bottom w:val="none" w:sz="0" w:space="0" w:color="auto"/>
                    <w:right w:val="none" w:sz="0" w:space="0" w:color="auto"/>
                  </w:divBdr>
                  <w:divsChild>
                    <w:div w:id="163081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657205">
      <w:bodyDiv w:val="1"/>
      <w:marLeft w:val="0"/>
      <w:marRight w:val="0"/>
      <w:marTop w:val="0"/>
      <w:marBottom w:val="0"/>
      <w:divBdr>
        <w:top w:val="none" w:sz="0" w:space="0" w:color="auto"/>
        <w:left w:val="none" w:sz="0" w:space="0" w:color="auto"/>
        <w:bottom w:val="none" w:sz="0" w:space="0" w:color="auto"/>
        <w:right w:val="none" w:sz="0" w:space="0" w:color="auto"/>
      </w:divBdr>
      <w:divsChild>
        <w:div w:id="1476750793">
          <w:marLeft w:val="0"/>
          <w:marRight w:val="0"/>
          <w:marTop w:val="0"/>
          <w:marBottom w:val="0"/>
          <w:divBdr>
            <w:top w:val="none" w:sz="0" w:space="0" w:color="auto"/>
            <w:left w:val="none" w:sz="0" w:space="0" w:color="auto"/>
            <w:bottom w:val="none" w:sz="0" w:space="0" w:color="auto"/>
            <w:right w:val="none" w:sz="0" w:space="0" w:color="auto"/>
          </w:divBdr>
          <w:divsChild>
            <w:div w:id="164787868">
              <w:marLeft w:val="0"/>
              <w:marRight w:val="0"/>
              <w:marTop w:val="0"/>
              <w:marBottom w:val="0"/>
              <w:divBdr>
                <w:top w:val="none" w:sz="0" w:space="0" w:color="auto"/>
                <w:left w:val="none" w:sz="0" w:space="0" w:color="auto"/>
                <w:bottom w:val="none" w:sz="0" w:space="0" w:color="auto"/>
                <w:right w:val="none" w:sz="0" w:space="0" w:color="auto"/>
              </w:divBdr>
              <w:divsChild>
                <w:div w:id="1268465155">
                  <w:marLeft w:val="0"/>
                  <w:marRight w:val="0"/>
                  <w:marTop w:val="0"/>
                  <w:marBottom w:val="0"/>
                  <w:divBdr>
                    <w:top w:val="none" w:sz="0" w:space="0" w:color="auto"/>
                    <w:left w:val="none" w:sz="0" w:space="0" w:color="auto"/>
                    <w:bottom w:val="none" w:sz="0" w:space="0" w:color="auto"/>
                    <w:right w:val="none" w:sz="0" w:space="0" w:color="auto"/>
                  </w:divBdr>
                  <w:divsChild>
                    <w:div w:id="210648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702411">
      <w:bodyDiv w:val="1"/>
      <w:marLeft w:val="0"/>
      <w:marRight w:val="0"/>
      <w:marTop w:val="0"/>
      <w:marBottom w:val="0"/>
      <w:divBdr>
        <w:top w:val="none" w:sz="0" w:space="0" w:color="auto"/>
        <w:left w:val="none" w:sz="0" w:space="0" w:color="auto"/>
        <w:bottom w:val="none" w:sz="0" w:space="0" w:color="auto"/>
        <w:right w:val="none" w:sz="0" w:space="0" w:color="auto"/>
      </w:divBdr>
      <w:divsChild>
        <w:div w:id="1152722409">
          <w:marLeft w:val="0"/>
          <w:marRight w:val="0"/>
          <w:marTop w:val="0"/>
          <w:marBottom w:val="0"/>
          <w:divBdr>
            <w:top w:val="none" w:sz="0" w:space="0" w:color="auto"/>
            <w:left w:val="none" w:sz="0" w:space="0" w:color="auto"/>
            <w:bottom w:val="none" w:sz="0" w:space="0" w:color="auto"/>
            <w:right w:val="none" w:sz="0" w:space="0" w:color="auto"/>
          </w:divBdr>
          <w:divsChild>
            <w:div w:id="99450347">
              <w:marLeft w:val="0"/>
              <w:marRight w:val="0"/>
              <w:marTop w:val="0"/>
              <w:marBottom w:val="0"/>
              <w:divBdr>
                <w:top w:val="none" w:sz="0" w:space="0" w:color="auto"/>
                <w:left w:val="none" w:sz="0" w:space="0" w:color="auto"/>
                <w:bottom w:val="none" w:sz="0" w:space="0" w:color="auto"/>
                <w:right w:val="none" w:sz="0" w:space="0" w:color="auto"/>
              </w:divBdr>
              <w:divsChild>
                <w:div w:id="1425420795">
                  <w:marLeft w:val="0"/>
                  <w:marRight w:val="0"/>
                  <w:marTop w:val="0"/>
                  <w:marBottom w:val="0"/>
                  <w:divBdr>
                    <w:top w:val="none" w:sz="0" w:space="0" w:color="auto"/>
                    <w:left w:val="none" w:sz="0" w:space="0" w:color="auto"/>
                    <w:bottom w:val="none" w:sz="0" w:space="0" w:color="auto"/>
                    <w:right w:val="none" w:sz="0" w:space="0" w:color="auto"/>
                  </w:divBdr>
                  <w:divsChild>
                    <w:div w:id="19689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identitymindglobal.com" TargetMode="External"/><Relationship Id="rId4" Type="http://schemas.openxmlformats.org/officeDocument/2006/relationships/webSettings" Target="webSettings.xml"/><Relationship Id="rId9" Type="http://schemas.openxmlformats.org/officeDocument/2006/relationships/hyperlink" Target="https://www.ecomx.org/Documents.html" TargetMode="Externa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info@eComX.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2261</Words>
  <Characters>12892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 Clarke</dc:creator>
  <cp:keywords/>
  <dc:description/>
  <cp:lastModifiedBy>Hernan Clarke</cp:lastModifiedBy>
  <cp:revision>3</cp:revision>
  <cp:lastPrinted>2018-09-28T19:20:00Z</cp:lastPrinted>
  <dcterms:created xsi:type="dcterms:W3CDTF">2018-09-28T19:20:00Z</dcterms:created>
  <dcterms:modified xsi:type="dcterms:W3CDTF">2018-09-28T19:21:00Z</dcterms:modified>
</cp:coreProperties>
</file>