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440A" w14:textId="6FD16D38" w:rsidR="00F73B99" w:rsidRPr="00F73B99" w:rsidRDefault="00F73B99" w:rsidP="0049230A">
      <w:pPr>
        <w:pStyle w:val="Heading1"/>
        <w:jc w:val="center"/>
        <w:rPr>
          <w:rFonts w:eastAsia="Times New Roman"/>
        </w:rPr>
      </w:pPr>
      <w:r w:rsidRPr="00F73B99">
        <w:t>Резюме</w:t>
      </w:r>
    </w:p>
    <w:p w14:paraId="1A212FCB" w14:textId="77777777" w:rsidR="007A13D0" w:rsidRPr="002D2AB6" w:rsidRDefault="006E6567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екомкс-это протокол, запускаемый eComX.org, который обеспечивает высокоэффективную электронную торговлю без посредников и при значительно меньших затратах.</w:t>
      </w:r>
    </w:p>
    <w:p w14:paraId="0633317A" w14:textId="22E900EF" w:rsidR="00F73B99" w:rsidRPr="002D2AB6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eComX.org существует как децентрализованная автономная организация для решения проблемы взаимодействия между существующими централизованными инфраструктурами электронной коммерции и екомкс и среди ряда блоккчаинс и екомкс.  Еще одна проблема решается, является вопрос масштабируемости, к которому мы считаем, екомкс параллельных вычислений подход через екомкс оптимизированный цепочки является ответом.</w:t>
      </w:r>
    </w:p>
    <w:p w14:paraId="74FDC7AB" w14:textId="77777777" w:rsidR="00975E38" w:rsidRPr="002D2AB6" w:rsidRDefault="00975E38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Решение заключается в создании новой модели электронной коммерции, основанной на сотрудничестве и доверии.</w:t>
      </w:r>
      <w:r w:rsidR="006E6567" w:rsidRPr="002D2AB6">
        <w:t xml:space="preserve"> </w:t>
      </w:r>
      <w:r w:rsidRPr="002D2AB6">
        <w:t xml:space="preserve"> Только после рождения цепочки как технологии доверия, стало возможным абсолютное сотрудничество между всеми бенефициарами.</w:t>
      </w:r>
      <w:r w:rsidR="006E6567" w:rsidRPr="002D2AB6">
        <w:t xml:space="preserve"> </w:t>
      </w:r>
      <w:r w:rsidRPr="002D2AB6">
        <w:t xml:space="preserve"> Не только цепочка устраняет проблему централизованного посредничества во всех сделках, но и делает проблему доверительного сотрудничества программной, абсолютно независимой и свободной от человеческих предрассудков.</w:t>
      </w:r>
    </w:p>
    <w:p w14:paraId="46E1EDB9" w14:textId="1288E655" w:rsidR="00975E38" w:rsidRPr="002D2AB6" w:rsidRDefault="005A21DD" w:rsidP="00975E38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Есть много передач, что делает электронной коммерции двигаться, и в это время, слишком многие из них основаны на централизованных систем, процессов и баз данных.</w:t>
      </w:r>
      <w:r w:rsidR="00975E38" w:rsidRPr="002D2AB6">
        <w:t xml:space="preserve"> </w:t>
      </w:r>
      <w:r w:rsidRPr="002D2AB6">
        <w:t xml:space="preserve"> Очевидно, что электронной коммерции необходимо начать перемещение этих процессов, систем и наборов данных на цепочку.</w:t>
      </w:r>
      <w:r w:rsidR="00975E38" w:rsidRPr="002D2AB6">
        <w:t xml:space="preserve"> </w:t>
      </w:r>
      <w:r w:rsidRPr="002D2AB6">
        <w:t xml:space="preserve"> Токен екомкс обертка/Утилита транспорта был разработан для облегчения перемещения этих несетевых объектов в екомкс цепочки, путем инкапсуляции объектов исходной структуры данных и сопоставления их значений, данных и состояний, необходи</w:t>
      </w:r>
      <w:r w:rsidR="00475034">
        <w:t>мых для смарт-контрактов</w:t>
      </w:r>
      <w:r w:rsidRPr="002D2AB6">
        <w:t>, в цепочке, для выполнения вычислительных инструкций на них.</w:t>
      </w:r>
    </w:p>
    <w:p w14:paraId="64699CC2" w14:textId="77777777" w:rsidR="00866D68" w:rsidRPr="002D2AB6" w:rsidRDefault="007B3EB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Например, Интернет вещей (IOT) представляет новые возможности, однако, взаимодействие и масштабируемость остаются основными проблемами.</w:t>
      </w:r>
      <w:r w:rsidR="00A94BBC" w:rsidRPr="002D2AB6">
        <w:t xml:space="preserve"> </w:t>
      </w:r>
      <w:r w:rsidRPr="002D2AB6">
        <w:t xml:space="preserve"> Другая тенденция стоит посмотреть на то, как предприятия используют цепочки для повышения старых методов и внутренних процессов.</w:t>
      </w:r>
      <w:r w:rsidR="00A94BBC" w:rsidRPr="002D2AB6">
        <w:t xml:space="preserve">  </w:t>
      </w:r>
    </w:p>
    <w:p w14:paraId="42AFB46A" w14:textId="089CA39F" w:rsidR="005A21DD" w:rsidRPr="002D2AB6" w:rsidRDefault="00B868E7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 представляет переход парадигмы к электронной коммерции.</w:t>
      </w:r>
      <w:r w:rsidR="00607BB7" w:rsidRPr="002D2AB6">
        <w:t xml:space="preserve"> </w:t>
      </w:r>
      <w:r w:rsidRPr="002D2AB6">
        <w:t xml:space="preserve"> В качестве трансформации движения, eComX.org является инфраструктура и екомкс цепочки является транспортным средством.</w:t>
      </w:r>
      <w:r w:rsidR="00607BB7" w:rsidRPr="002D2AB6">
        <w:t xml:space="preserve"> </w:t>
      </w:r>
      <w:r w:rsidRPr="002D2AB6">
        <w:t xml:space="preserve"> eComX.org обеспечивает инфраструктуру доверия, где все стороны сотрудничают путем создания и обмена знаниями, процессами и программным обеспечением с другими членами.</w:t>
      </w:r>
      <w:r w:rsidR="00607BB7" w:rsidRPr="002D2AB6">
        <w:t xml:space="preserve"> </w:t>
      </w:r>
      <w:r w:rsidRPr="002D2AB6">
        <w:t xml:space="preserve"> Как DAO, например, eComX.org в </w:t>
      </w:r>
      <w:r w:rsidRPr="002D2AB6">
        <w:lastRenderedPageBreak/>
        <w:t>ведении комитетов, проголосовали в должности членов екомкс, партнеров и учредителей.</w:t>
      </w:r>
      <w:r w:rsidR="00607BB7" w:rsidRPr="002D2AB6">
        <w:t xml:space="preserve"> </w:t>
      </w:r>
      <w:r w:rsidRPr="002D2AB6">
        <w:t>Участники могут предлагать новые проекты или голосовать на существующих, и партнеры могут использовать екомкс программного обеспечения библиотеки и ресурсов для создания новых даппс и смарт-контракты, чтобы продолжать делать екомкс лучше.</w:t>
      </w:r>
    </w:p>
    <w:p w14:paraId="69A91C99" w14:textId="77777777" w:rsidR="00F73B99" w:rsidRPr="002D2AB6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Конечным результатом является платформа, способная выполнять все необходимые функциональные возможности традиционных централизованных систем электронной коммерции, но в распределенной и более эффективной манере и при значительно меньших затратах.</w:t>
      </w:r>
    </w:p>
    <w:p w14:paraId="17BB0E79" w14:textId="77777777" w:rsidR="000F2944" w:rsidRPr="002D2AB6" w:rsidRDefault="000F294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 использует гибридный механизм консенсуса, позволяющий как военнопленным, так и POS-блокам, на узлах распределенной сети конкурировать за награды и таким образом достигать максимальной производительности за счет параллельных вычислений.</w:t>
      </w:r>
    </w:p>
    <w:p w14:paraId="7E26F937" w14:textId="72CD8FFB" w:rsidR="000F2944" w:rsidRPr="002D2AB6" w:rsidRDefault="000F294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Екомкс. World Marketplace может обрабатывать Crypto и Fiat валюты, так.</w:t>
      </w:r>
      <w:r w:rsidR="00190D1F" w:rsidRPr="002D2AB6">
        <w:t xml:space="preserve"> </w:t>
      </w:r>
      <w:r w:rsidRPr="002D2AB6">
        <w:t xml:space="preserve"> Технология может в настоящее время поддержка 11 Fiat и 4 крипто валют, и он будет продолжать добавлять дополнительные, сверхурочные.</w:t>
      </w:r>
    </w:p>
    <w:p w14:paraId="3833BB33" w14:textId="77777777" w:rsidR="00AD67AC" w:rsidRPr="002D2AB6" w:rsidRDefault="00AD67AC" w:rsidP="00AD67AC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 реализует собственную версию EVM виртуальной машины Тьюринга, в отличие от использования VM Ethereum для обработки.  Причина в том, что Ethereum VM является квази-полным в связи с тем, что выполнение зависит от наличия достаточного количества газа, зарезервированного для узлов сети. Это неизбежное узкое место, которое екомкс решает, имея собственную оптимизированную VM.</w:t>
      </w:r>
    </w:p>
    <w:p w14:paraId="33A1760F" w14:textId="6D583A29" w:rsidR="00F73B99" w:rsidRPr="002D2AB6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Мы завершили доказательство концепции, которая включает в себя доказательство концепции для нескольких событий срабатывания механизмов для смарт-контрактов, екомкс транспорта и обертки для объектов в различных блоккчаинс и внешних объектов, смарт-контракты в качестве интерфейсов для глобальные рынки, гибридный консенсус и параллельные вычисления.</w:t>
      </w:r>
    </w:p>
    <w:p w14:paraId="543AF1D1" w14:textId="77777777" w:rsidR="00F73B99" w:rsidRPr="002D2AB6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eComX.org будет использовать комитеты Дао для постоянного содействия участию в НИОКР и обмена знаниями университетами, сообществами пользователей, инвестиционными сообществами, сообществами участников Шахтера, рынками, логистикой, выполнением, платежными шлюзами Др.</w:t>
      </w:r>
    </w:p>
    <w:p w14:paraId="745BCCFE" w14:textId="6168AFA4" w:rsidR="00FC7E1D" w:rsidRPr="002D2AB6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 корпорация ожидает, что он завершит екомкс токен предпродажной кампании, eComX.org DAO регистрации.</w:t>
      </w:r>
      <w:r w:rsidR="00190D1F" w:rsidRPr="002D2AB6">
        <w:t xml:space="preserve"> </w:t>
      </w:r>
      <w:r w:rsidRPr="002D2AB6">
        <w:t>К концу Q4 2018, мы планируем выпустить екомкс. мировой трансграничный рынок и начать работу екомкс Дао.</w:t>
      </w:r>
      <w:r w:rsidR="00190D1F" w:rsidRPr="002D2AB6">
        <w:t xml:space="preserve"> </w:t>
      </w:r>
      <w:r w:rsidRPr="002D2AB6">
        <w:t xml:space="preserve">К концу Q2 2019, мы можем ожидать </w:t>
      </w:r>
      <w:r w:rsidRPr="002D2AB6">
        <w:lastRenderedPageBreak/>
        <w:t>екомкс маиннет идти жить, и к концу 2019 мы ожидаем, что цель более чем $500 000 000 USD в электронной коммерции, связанных сделок, обработанных в екомкс.</w:t>
      </w:r>
    </w:p>
    <w:p w14:paraId="00D425F6" w14:textId="631C61E7" w:rsidR="00F73B99" w:rsidRPr="002D2AB6" w:rsidRDefault="00442150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К концу 2020, екомкс является ориентация на более чем 2 000 000 000 USD в электронной коммерции, связанных транзакций, работающих на екомкс сеть цепочки и к концу 2021, а более крупных рынках по всему миру начинают использовать екомкс технологии, екомкс Ожидается, что эта оценка увеличится на 10x.</w:t>
      </w:r>
    </w:p>
    <w:p w14:paraId="65C1013E" w14:textId="2CAFA112" w:rsidR="00873EA5" w:rsidRPr="002D2AB6" w:rsidRDefault="00FC0C23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Чтобы продолжать оставаться независимым (нет контроля со стороны любого партнера, Marketplace и т.д.), eComX.org DAO будет переход от квази-независимой организации, к полностью автономной 1.</w:t>
      </w:r>
      <w:r w:rsidR="00F73B99" w:rsidRPr="002D2AB6">
        <w:t xml:space="preserve"> </w:t>
      </w:r>
      <w:r w:rsidRPr="002D2AB6">
        <w:t xml:space="preserve"> Это делается для того, чтобы убедиться, что на ранней стадии развития, организация поддерживает курс вперед, чтобы доставить екомкс как общественное и открытое для всех цепочки инфраструктуры для крипто-электронной коммерции экономики Интернета ценностей.</w:t>
      </w:r>
    </w:p>
    <w:p w14:paraId="7AC564F1" w14:textId="439F90AD" w:rsidR="0049230A" w:rsidRPr="002D2AB6" w:rsidRDefault="00FC7E1D" w:rsidP="0049230A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D2AB6">
        <w:t>Екомкс цепочки будут заправлены екомкс жетонами.</w:t>
      </w:r>
      <w:r w:rsidR="00873EA5" w:rsidRPr="002D2AB6">
        <w:t xml:space="preserve"> </w:t>
      </w:r>
      <w:r w:rsidRPr="002D2AB6">
        <w:t xml:space="preserve"> Они будут использоваться для переноса и переноса внешних объектов в и из екомкс цепочки, в качестве кросс-цепных интерфейсов, в качестве газа для наших параллельных вычислительных узлов, а также в качестве награды за будущие программы лояльности.</w:t>
      </w:r>
    </w:p>
    <w:p w14:paraId="74C2D30E" w14:textId="66C06B1E" w:rsidR="0049230A" w:rsidRPr="002D2AB6" w:rsidRDefault="0049230A" w:rsidP="0049230A">
      <w:r w:rsidRPr="002D2AB6">
        <w:t>сбор средств екомкс</w:t>
      </w:r>
    </w:p>
    <w:p w14:paraId="7EDA5960" w14:textId="77777777" w:rsidR="0049230A" w:rsidRPr="002D2AB6" w:rsidRDefault="0049230A" w:rsidP="0049230A"/>
    <w:p w14:paraId="72A00768" w14:textId="004921AA" w:rsidR="0049230A" w:rsidRPr="002D2AB6" w:rsidRDefault="0049230A" w:rsidP="0049230A">
      <w:pPr>
        <w:rPr>
          <w:rFonts w:asciiTheme="majorHAnsi" w:hAnsiTheme="majorHAnsi" w:cstheme="majorHAnsi"/>
          <w:spacing w:val="-1"/>
        </w:rPr>
      </w:pPr>
      <w:r w:rsidRPr="002D2AB6">
        <w:t>С момента создания екомкс организация тихо внедряет и строит свою инфраструктуру. Среди всех сомнений по поводу технологии цепочки, мы выпустили реальный мир крипто-электронной коммерции рынке, наш "ДАПП Store Marketplace" в настоящее время открыта для общественности, и наши R &amp; D работы в области взаимодействия, екомкс цепочки, и параллельные вычисления движется Вперед. Мы готовим к тому, чтобы быть одной из первых компаний цепочки, чтобы сделать всплеск на реальном мире крипто-электронной коммерции экономики и намерены вести путем привлечения реальных решений для людей и организаций по всему миру.</w:t>
      </w:r>
    </w:p>
    <w:p w14:paraId="109D140F" w14:textId="751737BF" w:rsidR="0049230A" w:rsidRPr="002D2AB6" w:rsidRDefault="0049230A" w:rsidP="0049230A">
      <w:pPr>
        <w:rPr>
          <w:rFonts w:asciiTheme="majorHAnsi" w:hAnsiTheme="majorHAnsi" w:cstheme="majorHAnsi"/>
          <w:spacing w:val="-1"/>
        </w:rPr>
      </w:pPr>
    </w:p>
    <w:p w14:paraId="16C2A0B8" w14:textId="5B7E065A" w:rsidR="0049230A" w:rsidRPr="002D2AB6" w:rsidRDefault="0049230A" w:rsidP="0049230A">
      <w:pPr>
        <w:rPr>
          <w:rFonts w:asciiTheme="majorHAnsi" w:hAnsiTheme="majorHAnsi" w:cstheme="majorHAnsi"/>
          <w:shd w:val="clear" w:color="auto" w:fill="FFFFFF"/>
        </w:rPr>
      </w:pPr>
      <w:r w:rsidRPr="002D2AB6">
        <w:t>Чтобы продолжить развитие, екомкс необходимо мобилизовать столь необходимый капитал для того, чтобы продолжить развитие.</w:t>
      </w:r>
    </w:p>
    <w:p w14:paraId="74ADE1D2" w14:textId="449A6CDA" w:rsidR="00407A00" w:rsidRPr="002D2AB6" w:rsidRDefault="00407A00" w:rsidP="00407A00">
      <w:bookmarkStart w:id="0" w:name="_Toc523685951"/>
    </w:p>
    <w:bookmarkEnd w:id="0"/>
    <w:p w14:paraId="46CC7EC3" w14:textId="77777777" w:rsidR="00102688" w:rsidRPr="002D2AB6" w:rsidRDefault="00CA29B6" w:rsidP="00102688">
      <w:pPr>
        <w:rPr>
          <w:rFonts w:asciiTheme="majorHAnsi" w:hAnsiTheme="majorHAnsi" w:cstheme="majorHAnsi"/>
        </w:rPr>
      </w:pPr>
      <w:r w:rsidRPr="002D2AB6">
        <w:fldChar w:fldCharType="begin"/>
      </w:r>
      <w:r w:rsidRPr="002D2AB6">
        <w:instrText xml:space="preserve"> HYPERLINK "http://www.eComX.world" </w:instrText>
      </w:r>
      <w:r w:rsidRPr="002D2AB6">
        <w:fldChar w:fldCharType="end"/>
      </w:r>
      <w:proofErr w:type="spellStart"/>
      <w:r w:rsidR="00102688" w:rsidRPr="002D2AB6">
        <w:t>екомкс</w:t>
      </w:r>
      <w:proofErr w:type="spellEnd"/>
      <w:r w:rsidR="00102688" w:rsidRPr="002D2AB6">
        <w:t xml:space="preserve"> </w:t>
      </w:r>
      <w:proofErr w:type="spellStart"/>
      <w:r w:rsidR="00102688" w:rsidRPr="002D2AB6">
        <w:t>встретил</w:t>
      </w:r>
      <w:proofErr w:type="spellEnd"/>
      <w:r w:rsidR="00102688" w:rsidRPr="002D2AB6">
        <w:t xml:space="preserve"> </w:t>
      </w:r>
      <w:proofErr w:type="spellStart"/>
      <w:r w:rsidR="00102688" w:rsidRPr="002D2AB6">
        <w:t>свою</w:t>
      </w:r>
      <w:proofErr w:type="spellEnd"/>
      <w:r w:rsidR="00102688" w:rsidRPr="002D2AB6">
        <w:t xml:space="preserve"> </w:t>
      </w:r>
      <w:proofErr w:type="spellStart"/>
      <w:r w:rsidR="00102688" w:rsidRPr="002D2AB6">
        <w:t>мягкую</w:t>
      </w:r>
      <w:proofErr w:type="spellEnd"/>
      <w:r w:rsidR="00102688" w:rsidRPr="002D2AB6">
        <w:t xml:space="preserve"> крышку, используя ранее инвестиции от основателей, друзей и семьи и завершил проект структуры, официальный документ, выпустила Fiat и крипто электронной коммерции </w:t>
      </w:r>
      <w:proofErr w:type="gramStart"/>
      <w:r w:rsidR="00102688" w:rsidRPr="002D2AB6">
        <w:t xml:space="preserve">рынке,  </w:t>
      </w:r>
      <w:r w:rsidR="00102688" w:rsidRPr="002D2AB6">
        <w:rPr>
          <w:rStyle w:val="Hyperlink"/>
        </w:rPr>
        <w:t>www.eComX.world</w:t>
      </w:r>
      <w:proofErr w:type="gramEnd"/>
      <w:r w:rsidR="00102688" w:rsidRPr="002D2AB6">
        <w:t xml:space="preserve"> , и она выпустила екомкс "ДАПП Store", наряду с несколькими другими вехами.</w:t>
      </w:r>
    </w:p>
    <w:p w14:paraId="2E27E14C" w14:textId="77777777" w:rsidR="00102688" w:rsidRPr="009F5321" w:rsidRDefault="00102688" w:rsidP="00102688">
      <w:pPr>
        <w:rPr>
          <w:rFonts w:asciiTheme="majorHAnsi" w:hAnsiTheme="majorHAnsi" w:cstheme="majorHAnsi"/>
          <w:sz w:val="22"/>
          <w:szCs w:val="22"/>
        </w:rPr>
      </w:pPr>
    </w:p>
    <w:p w14:paraId="49A7035B" w14:textId="77777777" w:rsidR="002D2AB6" w:rsidRDefault="002D2AB6" w:rsidP="00102688">
      <w:pPr>
        <w:ind w:hanging="1170"/>
        <w:rPr>
          <w:sz w:val="22"/>
          <w:szCs w:val="22"/>
        </w:rPr>
      </w:pPr>
    </w:p>
    <w:p w14:paraId="4AFAEE03" w14:textId="27389A32" w:rsidR="00102688" w:rsidRPr="002D2AB6" w:rsidRDefault="00102688" w:rsidP="00102688">
      <w:pPr>
        <w:ind w:hanging="1170"/>
        <w:rPr>
          <w:rFonts w:asciiTheme="majorHAnsi" w:hAnsiTheme="majorHAnsi" w:cstheme="majorHAnsi"/>
        </w:rPr>
      </w:pPr>
      <w:r w:rsidRPr="009F5321">
        <w:rPr>
          <w:sz w:val="22"/>
          <w:szCs w:val="22"/>
        </w:rPr>
        <w:lastRenderedPageBreak/>
        <w:t xml:space="preserve"> </w:t>
      </w:r>
      <w:r w:rsidR="002D2AB6">
        <w:rPr>
          <w:sz w:val="22"/>
          <w:szCs w:val="22"/>
        </w:rPr>
        <w:tab/>
      </w:r>
      <w:proofErr w:type="spellStart"/>
      <w:r w:rsidRPr="002D2AB6">
        <w:t>екомкс</w:t>
      </w:r>
      <w:proofErr w:type="spellEnd"/>
      <w:r w:rsidRPr="002D2AB6">
        <w:t xml:space="preserve"> в </w:t>
      </w:r>
      <w:proofErr w:type="spellStart"/>
      <w:r w:rsidRPr="002D2AB6">
        <w:t>настоящее</w:t>
      </w:r>
      <w:proofErr w:type="spellEnd"/>
      <w:r w:rsidRPr="002D2AB6">
        <w:t xml:space="preserve"> </w:t>
      </w:r>
      <w:proofErr w:type="spellStart"/>
      <w:r w:rsidRPr="002D2AB6">
        <w:t>время</w:t>
      </w:r>
      <w:proofErr w:type="spellEnd"/>
      <w:r w:rsidRPr="002D2AB6">
        <w:t xml:space="preserve"> готовится вступить в предпродажной и три фазы екомкс маркер продажи через TGE искать дополнительные средства для завершения проекта, распределение обоих жетонов и "использование средств" объясняются в следующих нескольких страницах.</w:t>
      </w:r>
    </w:p>
    <w:p w14:paraId="1789B4EC" w14:textId="77777777" w:rsidR="00102688" w:rsidRPr="002D2AB6" w:rsidRDefault="00102688" w:rsidP="00102688">
      <w:pPr>
        <w:ind w:hanging="1170"/>
      </w:pPr>
    </w:p>
    <w:p w14:paraId="18EE6E52" w14:textId="77777777" w:rsidR="00102688" w:rsidRDefault="00102688" w:rsidP="00102688">
      <w:pPr>
        <w:pStyle w:val="Heading1"/>
        <w:rPr>
          <w:rFonts w:eastAsia="Times New Roman"/>
        </w:rPr>
      </w:pPr>
      <w:bookmarkStart w:id="1" w:name="_Toc525218821"/>
      <w:bookmarkEnd w:id="1"/>
      <w:r>
        <w:t>распределение маркеров екомкс</w:t>
      </w:r>
    </w:p>
    <w:p w14:paraId="0E0AF631" w14:textId="77777777" w:rsidR="00102688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EFB9449" wp14:editId="14749F4C">
            <wp:extent cx="3822971" cy="2548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X_TOKEN_DISTRIB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357" cy="25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455" w14:textId="77777777" w:rsidR="00102688" w:rsidRDefault="00102688" w:rsidP="00102688">
      <w:pPr>
        <w:pStyle w:val="Heading3"/>
        <w:rPr>
          <w:rFonts w:eastAsia="Times New Roman"/>
        </w:rPr>
      </w:pPr>
    </w:p>
    <w:p w14:paraId="127CE301" w14:textId="77777777" w:rsidR="00102688" w:rsidRPr="004379BF" w:rsidRDefault="00102688" w:rsidP="00102688">
      <w:pPr>
        <w:pStyle w:val="Heading3"/>
        <w:rPr>
          <w:rFonts w:eastAsia="Times New Roman"/>
        </w:rPr>
      </w:pPr>
      <w:bookmarkStart w:id="2" w:name="_Toc525218822"/>
      <w:bookmarkEnd w:id="2"/>
      <w:r>
        <w:t>Продажа жетонов-фаза 1</w:t>
      </w:r>
    </w:p>
    <w:p w14:paraId="5C1D53D6" w14:textId="77777777" w:rsidR="00102688" w:rsidRPr="002D2AB6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t>токены 10% (20 000 000) зарезервированы для фазы продажи токена екомкс 2.  Он будет подлежать минимальной сделки $25 000 для аккредитованных инвесторов и $50,00 для не-американских физических лиц.</w:t>
      </w:r>
    </w:p>
    <w:p w14:paraId="6C26149A" w14:textId="77777777" w:rsidR="00102688" w:rsidRPr="002D66CF" w:rsidRDefault="00102688" w:rsidP="00102688">
      <w:pPr>
        <w:pStyle w:val="Heading3"/>
        <w:rPr>
          <w:rFonts w:eastAsia="Times New Roman"/>
        </w:rPr>
      </w:pPr>
      <w:bookmarkStart w:id="3" w:name="_Toc525218823"/>
      <w:bookmarkEnd w:id="3"/>
      <w:r>
        <w:t>Продажа жетонов-Фаза 2</w:t>
      </w:r>
    </w:p>
    <w:p w14:paraId="0BF14C50" w14:textId="77777777" w:rsidR="00102688" w:rsidRPr="002D2AB6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t xml:space="preserve">30% (60 000 000) токены зарезервированы для фазы продажи токена екомкс 2.  Он будет подлежать минимальной сделки $25 000 для аккредитованных </w:t>
      </w:r>
      <w:proofErr w:type="spellStart"/>
      <w:r w:rsidRPr="002D2AB6">
        <w:t>инвесторов</w:t>
      </w:r>
      <w:proofErr w:type="spellEnd"/>
      <w:r w:rsidRPr="002D2AB6">
        <w:t xml:space="preserve"> и $50,00 </w:t>
      </w:r>
      <w:proofErr w:type="spellStart"/>
      <w:r w:rsidRPr="002D2AB6">
        <w:t>для</w:t>
      </w:r>
      <w:proofErr w:type="spellEnd"/>
      <w:r w:rsidRPr="002D2AB6">
        <w:t xml:space="preserve"> </w:t>
      </w:r>
      <w:proofErr w:type="spellStart"/>
      <w:r w:rsidRPr="002D2AB6">
        <w:t>не-американских</w:t>
      </w:r>
      <w:proofErr w:type="spellEnd"/>
      <w:r w:rsidRPr="002D2AB6">
        <w:t xml:space="preserve"> </w:t>
      </w:r>
      <w:proofErr w:type="spellStart"/>
      <w:r w:rsidRPr="002D2AB6">
        <w:t>физических</w:t>
      </w:r>
      <w:proofErr w:type="spellEnd"/>
      <w:r w:rsidRPr="002D2AB6">
        <w:t xml:space="preserve"> </w:t>
      </w:r>
      <w:proofErr w:type="spellStart"/>
      <w:r w:rsidRPr="002D2AB6">
        <w:t>лиц</w:t>
      </w:r>
      <w:proofErr w:type="spellEnd"/>
      <w:r w:rsidRPr="002D2AB6">
        <w:t>.</w:t>
      </w:r>
    </w:p>
    <w:p w14:paraId="43094FFC" w14:textId="77777777" w:rsidR="00102688" w:rsidRPr="004379BF" w:rsidRDefault="00102688" w:rsidP="00102688">
      <w:pPr>
        <w:pStyle w:val="Heading3"/>
        <w:rPr>
          <w:rFonts w:eastAsia="Times New Roman"/>
        </w:rPr>
      </w:pPr>
      <w:bookmarkStart w:id="4" w:name="_Toc525218824"/>
      <w:bookmarkEnd w:id="4"/>
      <w:r>
        <w:lastRenderedPageBreak/>
        <w:t>Продажа жетонов-фаза 3</w:t>
      </w:r>
    </w:p>
    <w:p w14:paraId="574E55DB" w14:textId="77777777" w:rsidR="00102688" w:rsidRPr="002D2AB6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t>20% (40 000 000) токены зарезервированы для фазы продажи токена екомкс 3.  Он будет подлежать минимальной сделки $25 000 для аккредитованных инвесторов и $50,00 для не-американских физических лиц.</w:t>
      </w:r>
    </w:p>
    <w:p w14:paraId="73408E31" w14:textId="77777777" w:rsidR="00102688" w:rsidRPr="004379BF" w:rsidRDefault="00102688" w:rsidP="00102688">
      <w:pPr>
        <w:pStyle w:val="Heading3"/>
        <w:rPr>
          <w:rFonts w:eastAsia="Times New Roman"/>
        </w:rPr>
      </w:pPr>
      <w:bookmarkStart w:id="5" w:name="_Toc525218825"/>
      <w:bookmarkEnd w:id="5"/>
      <w:r>
        <w:t>Резервы управления и советников</w:t>
      </w:r>
    </w:p>
    <w:p w14:paraId="0E9BF3A0" w14:textId="473357B4" w:rsidR="00102688" w:rsidRPr="002D2AB6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t>8% (16 000 000) екомкс Token поставка будет распространяться среди различных консультационных фирм и отдельных консультантов и членов управленческой группы, которые помогли с их вклад, опыт, а также концептуализации и реализации платформы екомкс. Эти жетоны будут распределены по 16-месячному графику с 1 000 000 жетонами, выпущенными каждый месяц и разделенными поровну по количеству советников и старших менеджеров в списке.  Распределение начнется через 1 месяц после окончания частных и государственных продаж.</w:t>
      </w:r>
    </w:p>
    <w:p w14:paraId="0FDE047D" w14:textId="77777777" w:rsidR="00102688" w:rsidRPr="004379BF" w:rsidRDefault="00102688" w:rsidP="00102688">
      <w:pPr>
        <w:pStyle w:val="Heading3"/>
        <w:rPr>
          <w:rFonts w:eastAsia="Times New Roman"/>
        </w:rPr>
      </w:pPr>
      <w:bookmarkStart w:id="6" w:name="_Toc525218826"/>
      <w:bookmarkEnd w:id="6"/>
      <w:r>
        <w:t>Партнерская программа</w:t>
      </w:r>
    </w:p>
    <w:p w14:paraId="535EEE33" w14:textId="479244F3" w:rsidR="00102688" w:rsidRPr="002D2AB6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rPr>
          <w:rFonts w:asciiTheme="majorHAnsi" w:hAnsiTheme="majorHAnsi" w:cstheme="majorHAnsi"/>
        </w:rPr>
        <w:t>5% (10 000 000) екомкс Token поставка будет зарезервирована для разработки екомкс партнерской программы для включения основных рынков, судоходства, логистики и т.д.</w:t>
      </w:r>
    </w:p>
    <w:p w14:paraId="4392B480" w14:textId="77777777" w:rsidR="00810BD9" w:rsidRPr="002D2AB6" w:rsidRDefault="00810BD9" w:rsidP="002D2AB6">
      <w:pPr>
        <w:pStyle w:val="Heading3"/>
      </w:pPr>
      <w:bookmarkStart w:id="7" w:name="_Toc525576148"/>
      <w:bookmarkStart w:id="8" w:name="_Toc525218828"/>
      <w:bookmarkEnd w:id="7"/>
      <w:proofErr w:type="spellStart"/>
      <w:r w:rsidRPr="002D2AB6">
        <w:t>Ангелы</w:t>
      </w:r>
      <w:proofErr w:type="spellEnd"/>
      <w:r w:rsidRPr="002D2AB6">
        <w:t xml:space="preserve"> и </w:t>
      </w:r>
      <w:proofErr w:type="spellStart"/>
      <w:r w:rsidRPr="002D2AB6">
        <w:t>брокеры</w:t>
      </w:r>
      <w:proofErr w:type="spellEnd"/>
      <w:r w:rsidRPr="002D2AB6">
        <w:t xml:space="preserve"> (</w:t>
      </w:r>
      <w:proofErr w:type="spellStart"/>
      <w:r w:rsidRPr="002D2AB6">
        <w:t>Спонсорская</w:t>
      </w:r>
      <w:proofErr w:type="spellEnd"/>
      <w:r w:rsidRPr="002D2AB6">
        <w:t xml:space="preserve"> </w:t>
      </w:r>
      <w:proofErr w:type="spellStart"/>
      <w:r w:rsidRPr="002D2AB6">
        <w:t>программа</w:t>
      </w:r>
      <w:proofErr w:type="spellEnd"/>
      <w:r w:rsidRPr="002D2AB6">
        <w:t>)</w:t>
      </w:r>
    </w:p>
    <w:p w14:paraId="6E236691" w14:textId="77777777" w:rsidR="00810BD9" w:rsidRPr="001D60FD" w:rsidRDefault="00810BD9" w:rsidP="00810BD9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 w:themeColor="text1"/>
        </w:rPr>
      </w:pPr>
      <w:r w:rsidRPr="001D60FD">
        <w:rPr>
          <w:color w:val="000000"/>
        </w:rPr>
        <w:t>5% (10 000 000) екомкс Token поставка будет зарезервирована для развития сообщества аккредитованных Ангел инвесторов, ранних усыновителей, и брокеров/агентов, имеющих решающее значение для финансирования, необходимого для полного развития проекта.</w:t>
      </w:r>
    </w:p>
    <w:bookmarkEnd w:id="8"/>
    <w:p w14:paraId="2F6550A7" w14:textId="77777777" w:rsidR="00102688" w:rsidRPr="0049196C" w:rsidRDefault="00102688" w:rsidP="00102688">
      <w:pPr>
        <w:pStyle w:val="Heading3"/>
        <w:rPr>
          <w:rFonts w:eastAsia="Times New Roman"/>
        </w:rPr>
      </w:pPr>
      <w:r>
        <w:t>Щедрость и десантные запасы</w:t>
      </w:r>
    </w:p>
    <w:p w14:paraId="5CD3E7BD" w14:textId="68467E8B" w:rsidR="00102688" w:rsidRPr="002D2AB6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t>екомкс будет отложить 2% (4 000 000) от маркера питания для общей щедрости и десантной программы.</w:t>
      </w:r>
      <w:r w:rsidR="00A213C7" w:rsidRPr="002D2AB6">
        <w:t xml:space="preserve"> </w:t>
      </w:r>
      <w:r w:rsidRPr="002D2AB6">
        <w:t>Щедрость/десантная программа будет открыта для всех, и будет награжден екомкс в качестве жетонов признательность за то, что сделали или участвовали в программе, которая усиливает екомкс пользователей сообщества.</w:t>
      </w:r>
    </w:p>
    <w:p w14:paraId="486E2C08" w14:textId="77777777" w:rsidR="00102688" w:rsidRPr="004379BF" w:rsidRDefault="00102688" w:rsidP="00102688">
      <w:pPr>
        <w:pStyle w:val="Heading3"/>
        <w:rPr>
          <w:rFonts w:eastAsia="Times New Roman"/>
        </w:rPr>
      </w:pPr>
      <w:bookmarkStart w:id="9" w:name="_Toc525218829"/>
      <w:bookmarkEnd w:id="9"/>
      <w:r w:rsidRPr="004379BF">
        <w:t xml:space="preserve">Основателей  </w:t>
      </w:r>
    </w:p>
    <w:p w14:paraId="459BF7BD" w14:textId="26A73C00" w:rsidR="00102688" w:rsidRPr="002D2AB6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2D2AB6">
        <w:t>Учредители екомкс будут иметь право на 10% (20 000 000) от екомкс Token поставки. Эти жетоны будут подлежать 12-месячному графику наделения.</w:t>
      </w:r>
    </w:p>
    <w:p w14:paraId="0B7BD66B" w14:textId="77777777" w:rsidR="00102688" w:rsidRPr="004379BF" w:rsidRDefault="00102688" w:rsidP="00102688">
      <w:pPr>
        <w:pStyle w:val="Heading3"/>
        <w:rPr>
          <w:rFonts w:eastAsia="Times New Roman"/>
        </w:rPr>
      </w:pPr>
      <w:bookmarkStart w:id="10" w:name="_Toc525218830"/>
      <w:bookmarkEnd w:id="10"/>
      <w:r>
        <w:lastRenderedPageBreak/>
        <w:t>Зарезервировано для программы вознаграждения шахтеров</w:t>
      </w:r>
    </w:p>
    <w:p w14:paraId="4BD3BF56" w14:textId="77777777" w:rsidR="008C73EC" w:rsidRDefault="00102688" w:rsidP="008C73EC">
      <w:pPr>
        <w:shd w:val="clear" w:color="auto" w:fill="FFFFFF"/>
        <w:spacing w:before="100" w:beforeAutospacing="1" w:after="100" w:afterAutospacing="1"/>
      </w:pPr>
      <w:r w:rsidRPr="002D2AB6">
        <w:t xml:space="preserve">екомкс является сохранение 10% (20 000 000) от екомкс маркер питания. </w:t>
      </w:r>
      <w:proofErr w:type="spellStart"/>
      <w:r w:rsidRPr="002D2AB6">
        <w:t>Эти</w:t>
      </w:r>
      <w:proofErr w:type="spellEnd"/>
      <w:r w:rsidRPr="002D2AB6">
        <w:t xml:space="preserve"> </w:t>
      </w:r>
      <w:proofErr w:type="spellStart"/>
      <w:r w:rsidRPr="002D2AB6">
        <w:t>жетоны</w:t>
      </w:r>
      <w:proofErr w:type="spellEnd"/>
      <w:r w:rsidRPr="002D2AB6">
        <w:t xml:space="preserve"> </w:t>
      </w:r>
      <w:proofErr w:type="spellStart"/>
      <w:r w:rsidRPr="002D2AB6">
        <w:t>будут</w:t>
      </w:r>
      <w:proofErr w:type="spellEnd"/>
      <w:r w:rsidRPr="002D2AB6">
        <w:t xml:space="preserve"> </w:t>
      </w:r>
      <w:proofErr w:type="spellStart"/>
      <w:r w:rsidRPr="002D2AB6">
        <w:t>резерв</w:t>
      </w:r>
      <w:proofErr w:type="spellEnd"/>
      <w:r w:rsidRPr="002D2AB6">
        <w:t xml:space="preserve"> </w:t>
      </w:r>
      <w:proofErr w:type="spellStart"/>
      <w:r w:rsidRPr="002D2AB6">
        <w:t>для</w:t>
      </w:r>
      <w:proofErr w:type="spellEnd"/>
      <w:r w:rsidRPr="002D2AB6">
        <w:t xml:space="preserve"> </w:t>
      </w:r>
      <w:proofErr w:type="spellStart"/>
      <w:r w:rsidRPr="002D2AB6">
        <w:t>покрытия</w:t>
      </w:r>
      <w:proofErr w:type="spellEnd"/>
      <w:r w:rsidRPr="002D2AB6">
        <w:t xml:space="preserve"> </w:t>
      </w:r>
      <w:proofErr w:type="spellStart"/>
      <w:r w:rsidRPr="002D2AB6">
        <w:t>газа</w:t>
      </w:r>
      <w:proofErr w:type="spellEnd"/>
      <w:r w:rsidRPr="002D2AB6">
        <w:t xml:space="preserve"> </w:t>
      </w:r>
      <w:proofErr w:type="spellStart"/>
      <w:r w:rsidRPr="002D2AB6">
        <w:t>для</w:t>
      </w:r>
      <w:proofErr w:type="spellEnd"/>
      <w:r w:rsidRPr="002D2AB6">
        <w:t xml:space="preserve"> </w:t>
      </w:r>
      <w:proofErr w:type="spellStart"/>
      <w:r w:rsidRPr="002D2AB6">
        <w:t>шахтеров</w:t>
      </w:r>
      <w:proofErr w:type="spellEnd"/>
      <w:r w:rsidRPr="002D2AB6">
        <w:t xml:space="preserve"> </w:t>
      </w:r>
      <w:proofErr w:type="spellStart"/>
      <w:r w:rsidRPr="002D2AB6">
        <w:t>из</w:t>
      </w:r>
      <w:proofErr w:type="spellEnd"/>
      <w:r w:rsidRPr="002D2AB6">
        <w:t xml:space="preserve"> </w:t>
      </w:r>
      <w:proofErr w:type="spellStart"/>
      <w:r w:rsidRPr="002D2AB6">
        <w:t>цепочки</w:t>
      </w:r>
      <w:proofErr w:type="spellEnd"/>
      <w:r w:rsidRPr="002D2AB6">
        <w:t xml:space="preserve"> </w:t>
      </w:r>
      <w:proofErr w:type="spellStart"/>
      <w:r w:rsidRPr="002D2AB6">
        <w:t>операций</w:t>
      </w:r>
      <w:proofErr w:type="spellEnd"/>
      <w:r w:rsidRPr="002D2AB6">
        <w:t>.</w:t>
      </w:r>
      <w:bookmarkStart w:id="11" w:name="_Toc525218831"/>
      <w:bookmarkEnd w:id="11"/>
    </w:p>
    <w:p w14:paraId="2360FE12" w14:textId="5B970626" w:rsidR="00102688" w:rsidRPr="008C73EC" w:rsidRDefault="00102688" w:rsidP="008C73EC">
      <w:pPr>
        <w:pStyle w:val="Heading3"/>
        <w:rPr>
          <w:rFonts w:eastAsiaTheme="minorHAnsi" w:cstheme="majorHAnsi"/>
        </w:rPr>
      </w:pPr>
      <w:proofErr w:type="spellStart"/>
      <w:r>
        <w:t>Екомкс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 </w:t>
      </w:r>
    </w:p>
    <w:p w14:paraId="5AFFAFD6" w14:textId="77777777" w:rsidR="00102688" w:rsidRDefault="00102688" w:rsidP="00102688"/>
    <w:p w14:paraId="1E098088" w14:textId="77777777" w:rsidR="00102688" w:rsidRPr="00DB7325" w:rsidRDefault="00102688" w:rsidP="00102688">
      <w:r>
        <w:rPr>
          <w:noProof/>
        </w:rPr>
        <w:drawing>
          <wp:inline distT="0" distB="0" distL="0" distR="0" wp14:anchorId="590FD3F1" wp14:editId="4F429A45">
            <wp:extent cx="4351506" cy="290100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OMX_USE_OF_F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36" cy="29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A870" w14:textId="77777777" w:rsidR="00102688" w:rsidRPr="002540EB" w:rsidRDefault="00102688" w:rsidP="00102688"/>
    <w:p w14:paraId="7B0EB204" w14:textId="77777777" w:rsidR="00102688" w:rsidRDefault="00102688" w:rsidP="00102688">
      <w:pPr>
        <w:pStyle w:val="Heading5"/>
        <w:rPr>
          <w:rFonts w:eastAsia="Times New Roman"/>
        </w:rPr>
      </w:pPr>
    </w:p>
    <w:p w14:paraId="7DD041DB" w14:textId="77777777" w:rsidR="00102688" w:rsidRPr="0067694E" w:rsidRDefault="00102688" w:rsidP="00102688">
      <w:pPr>
        <w:pStyle w:val="Heading3"/>
        <w:rPr>
          <w:rFonts w:eastAsia="Times New Roman"/>
        </w:rPr>
      </w:pPr>
      <w:bookmarkStart w:id="12" w:name="_Toc525218832"/>
      <w:bookmarkEnd w:id="12"/>
      <w:r w:rsidRPr="0067694E">
        <w:t xml:space="preserve">Технологии, Разработка программного обеспечения, инфраструктура  </w:t>
      </w:r>
    </w:p>
    <w:p w14:paraId="397B58E2" w14:textId="77777777" w:rsidR="00102688" w:rsidRPr="008C73EC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t>Относится к стоимости строительства или приобретения основных технологий, строительство и поддержание екомкс цепочки, включая оплату газа шахтеров первоначально в Ethereum цепочки, а затем для екомкс цепочки, VM, екомкс маркер, смарт контракты, даппс и т.д.  включая, но не ограничиваясь, расходы на сервер и средства разработки, консультанты, гранты нашим партнерам edu для конкретных проектов НИОКР и оборудования.</w:t>
      </w:r>
    </w:p>
    <w:p w14:paraId="4C0DA659" w14:textId="77777777" w:rsidR="00102688" w:rsidRPr="0067694E" w:rsidRDefault="00102688" w:rsidP="00102688">
      <w:pPr>
        <w:pStyle w:val="Heading3"/>
        <w:rPr>
          <w:rFonts w:eastAsia="Times New Roman"/>
        </w:rPr>
      </w:pPr>
      <w:bookmarkStart w:id="13" w:name="_Toc525218833"/>
      <w:bookmarkEnd w:id="13"/>
      <w:r w:rsidRPr="0067694E">
        <w:t xml:space="preserve">Продажи и маркетинг  </w:t>
      </w:r>
    </w:p>
    <w:p w14:paraId="42B392C7" w14:textId="77777777" w:rsidR="00102688" w:rsidRPr="008C73EC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t xml:space="preserve">Ссылается на стоимость общения и доставки ценности Организации для своих пользователей и партнеров, таких как общий охват через различные каналы, связи с общественностью, освещение в средствах массовой информации, общинное </w:t>
      </w:r>
      <w:r w:rsidRPr="008C73EC">
        <w:lastRenderedPageBreak/>
        <w:t>строительство/управление, и реклама. Включая продажи и команду посла и консультантов.</w:t>
      </w:r>
    </w:p>
    <w:p w14:paraId="7E12AC17" w14:textId="77777777" w:rsidR="00102688" w:rsidRPr="00122A58" w:rsidRDefault="00102688" w:rsidP="00102688">
      <w:pPr>
        <w:pStyle w:val="Heading3"/>
        <w:rPr>
          <w:rFonts w:eastAsia="Times New Roman"/>
        </w:rPr>
      </w:pPr>
      <w:bookmarkStart w:id="14" w:name="_Toc525218834"/>
      <w:bookmarkEnd w:id="14"/>
      <w:r>
        <w:t>Команда</w:t>
      </w:r>
    </w:p>
    <w:p w14:paraId="2D60D95B" w14:textId="77777777" w:rsidR="00102688" w:rsidRPr="008C73EC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t>Относится к стоимости сборки ядра лучших мировых ученых, аспирантов, инженеров и экспертов по цепочке, чтобы руководить и управлять развитием технологии криптографической электронной коммерции.</w:t>
      </w:r>
    </w:p>
    <w:p w14:paraId="777F3A38" w14:textId="77777777" w:rsidR="00102688" w:rsidRPr="00122A58" w:rsidRDefault="00102688" w:rsidP="00102688">
      <w:pPr>
        <w:pStyle w:val="Heading3"/>
        <w:rPr>
          <w:rFonts w:eastAsia="Times New Roman"/>
        </w:rPr>
      </w:pPr>
      <w:bookmarkStart w:id="15" w:name="_Toc525218835"/>
      <w:bookmarkEnd w:id="15"/>
      <w:r>
        <w:t>Поддержка клиентов</w:t>
      </w:r>
    </w:p>
    <w:p w14:paraId="21F1F32A" w14:textId="1EF26636" w:rsidR="00102688" w:rsidRPr="00E72A54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t xml:space="preserve">Относится к затратам на сборку ядра специалистов по поддержке, обладающих глубокими знаниями о екомкс </w:t>
      </w:r>
      <w:proofErr w:type="spellStart"/>
      <w:r w:rsidRPr="008C73EC">
        <w:t>многочисленных</w:t>
      </w:r>
      <w:proofErr w:type="spellEnd"/>
      <w:r w:rsidRPr="008C73EC">
        <w:t xml:space="preserve"> </w:t>
      </w:r>
      <w:proofErr w:type="spellStart"/>
      <w:r w:rsidRPr="008C73EC">
        <w:t>областях</w:t>
      </w:r>
      <w:proofErr w:type="spellEnd"/>
      <w:r w:rsidRPr="008C73EC">
        <w:t xml:space="preserve">, </w:t>
      </w:r>
      <w:proofErr w:type="spellStart"/>
      <w:r w:rsidRPr="008C73EC">
        <w:t>которым</w:t>
      </w:r>
      <w:proofErr w:type="spellEnd"/>
      <w:r w:rsidRPr="008C73EC">
        <w:t xml:space="preserve"> </w:t>
      </w:r>
      <w:proofErr w:type="spellStart"/>
      <w:r w:rsidRPr="008C73EC">
        <w:t>может</w:t>
      </w:r>
      <w:proofErr w:type="spellEnd"/>
      <w:r w:rsidRPr="008C73EC">
        <w:t xml:space="preserve"> </w:t>
      </w:r>
      <w:proofErr w:type="spellStart"/>
      <w:r w:rsidRPr="008C73EC">
        <w:t>потребоваться</w:t>
      </w:r>
      <w:proofErr w:type="spellEnd"/>
      <w:r w:rsidRPr="008C73EC">
        <w:t xml:space="preserve"> </w:t>
      </w:r>
      <w:proofErr w:type="spellStart"/>
      <w:r w:rsidRPr="008C73EC">
        <w:t>помощь</w:t>
      </w:r>
      <w:proofErr w:type="spellEnd"/>
      <w:r w:rsidRPr="008C73EC">
        <w:t xml:space="preserve"> </w:t>
      </w:r>
      <w:proofErr w:type="spellStart"/>
      <w:r w:rsidRPr="008C73EC">
        <w:t>общественности</w:t>
      </w:r>
      <w:proofErr w:type="spellEnd"/>
      <w:r w:rsidRPr="008C73EC">
        <w:t>.</w:t>
      </w:r>
    </w:p>
    <w:p w14:paraId="5A0A44C2" w14:textId="77777777" w:rsidR="00102688" w:rsidRPr="0067694E" w:rsidRDefault="00102688" w:rsidP="00102688">
      <w:pPr>
        <w:pStyle w:val="Heading3"/>
        <w:rPr>
          <w:rFonts w:eastAsia="Times New Roman"/>
        </w:rPr>
      </w:pPr>
      <w:bookmarkStart w:id="16" w:name="_Toc525218836"/>
      <w:bookmarkEnd w:id="16"/>
      <w:r w:rsidRPr="0067694E">
        <w:t xml:space="preserve">Юридических  </w:t>
      </w:r>
    </w:p>
    <w:p w14:paraId="56FCB0A6" w14:textId="77777777" w:rsidR="00102688" w:rsidRPr="008C73EC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rPr>
          <w:rFonts w:asciiTheme="majorHAnsi" w:hAnsiTheme="majorHAnsi" w:cstheme="majorHAnsi"/>
        </w:rPr>
        <w:t>Относится к текущим юридическим расходам Организации, связанным с организационной установкой, и любыми юридическими консультациями.</w:t>
      </w:r>
    </w:p>
    <w:p w14:paraId="3711B8E8" w14:textId="77777777" w:rsidR="00102688" w:rsidRPr="008C73EC" w:rsidRDefault="00102688" w:rsidP="00102688">
      <w:pPr>
        <w:pStyle w:val="Heading3"/>
        <w:rPr>
          <w:rFonts w:eastAsia="Times New Roman" w:cstheme="majorHAnsi"/>
        </w:rPr>
      </w:pPr>
      <w:bookmarkStart w:id="17" w:name="_Toc525218837"/>
      <w:bookmarkEnd w:id="17"/>
      <w:r w:rsidRPr="008C73EC">
        <w:rPr>
          <w:rFonts w:cstheme="majorHAnsi"/>
        </w:rPr>
        <w:t xml:space="preserve">Администрация екомкс DAO  </w:t>
      </w:r>
    </w:p>
    <w:p w14:paraId="3DEF65A3" w14:textId="77777777" w:rsidR="00102688" w:rsidRPr="008C73EC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rPr>
          <w:rFonts w:asciiTheme="majorHAnsi" w:hAnsiTheme="majorHAnsi" w:cstheme="majorHAnsi"/>
        </w:rPr>
        <w:t>Относится к стоимости эксплуатации Организации DAO, включая арендную плату за строительство, оплату услуг консультантов, амортизацию оргтехники, принадлежностей, подписок и коммунальных услуг, а также компенсацию за управление.</w:t>
      </w:r>
    </w:p>
    <w:p w14:paraId="241AF163" w14:textId="77777777" w:rsidR="00102688" w:rsidRPr="0067694E" w:rsidRDefault="00102688" w:rsidP="00102688">
      <w:pPr>
        <w:pStyle w:val="Heading3"/>
        <w:rPr>
          <w:rFonts w:eastAsia="Times New Roman"/>
        </w:rPr>
      </w:pPr>
      <w:bookmarkStart w:id="18" w:name="_Toc525218838"/>
      <w:bookmarkEnd w:id="18"/>
      <w:r>
        <w:t>Другие</w:t>
      </w:r>
    </w:p>
    <w:p w14:paraId="38AB2E45" w14:textId="77777777" w:rsidR="00102688" w:rsidRPr="008C73EC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8C73EC">
        <w:t>Ссылается на случайные и другие различные расходы, которые не могут быть классифицированы, такие как проезд, проживание и посещение конференций, другие.</w:t>
      </w:r>
    </w:p>
    <w:p w14:paraId="1A1AD59A" w14:textId="77777777" w:rsidR="00102688" w:rsidRPr="008C73EC" w:rsidRDefault="00102688" w:rsidP="00102688">
      <w:pPr>
        <w:rPr>
          <w:rFonts w:asciiTheme="majorHAnsi" w:hAnsiTheme="majorHAnsi" w:cstheme="majorHAnsi"/>
        </w:rPr>
      </w:pPr>
      <w:r w:rsidRPr="008C73EC">
        <w:t>Мы приглашаем вас поделиться на видение екомкс и присоединиться к нам в екомкс проекта по созданию подлинной трансформации платформы для будущего электронной коммерции. Мы считаем, что екомкс будет в центре следующей революции электронной коммерции.</w:t>
      </w:r>
    </w:p>
    <w:p w14:paraId="128121D5" w14:textId="77777777" w:rsidR="00102688" w:rsidRDefault="00102688" w:rsidP="00102688">
      <w:pPr>
        <w:pStyle w:val="Heading1"/>
      </w:pPr>
    </w:p>
    <w:p w14:paraId="714BF7BF" w14:textId="0632F171" w:rsidR="0049230A" w:rsidRDefault="00423566" w:rsidP="00423566">
      <w:pPr>
        <w:pStyle w:val="Heading3"/>
      </w:pPr>
      <w:r>
        <w:t>Декларации</w:t>
      </w:r>
    </w:p>
    <w:p w14:paraId="435041AF" w14:textId="77777777" w:rsidR="00423566" w:rsidRPr="008C73EC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r w:rsidRPr="008C73EC">
        <w:rPr>
          <w:b/>
          <w:bCs/>
        </w:rPr>
        <w:t>Граждане США и жители США, которые не являются "аккредитованными инвесторами" в соответствии с положением D Комиссии по безопасности и обмену США, исключаются из покупки екомкс жетонов на всех этапах распределения токенов!</w:t>
      </w:r>
      <w:r w:rsidRPr="008C73EC">
        <w:t xml:space="preserve">  </w:t>
      </w:r>
    </w:p>
    <w:p w14:paraId="78F4ACD0" w14:textId="721AF158" w:rsidR="00423566" w:rsidRPr="008C73EC" w:rsidRDefault="00BB7708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hyperlink r:id="rId9" w:history="1"/>
      <w:proofErr w:type="spellStart"/>
      <w:r w:rsidR="00423566" w:rsidRPr="008C73EC">
        <w:rPr>
          <w:b/>
          <w:bCs/>
        </w:rPr>
        <w:t>Екомкс</w:t>
      </w:r>
      <w:proofErr w:type="spellEnd"/>
      <w:r w:rsidR="00423566" w:rsidRPr="008C73EC">
        <w:rPr>
          <w:b/>
          <w:bCs/>
        </w:rPr>
        <w:t xml:space="preserve"> TGE </w:t>
      </w:r>
      <w:proofErr w:type="spellStart"/>
      <w:r w:rsidR="00423566" w:rsidRPr="008C73EC">
        <w:rPr>
          <w:b/>
          <w:bCs/>
        </w:rPr>
        <w:t>продажа</w:t>
      </w:r>
      <w:proofErr w:type="spellEnd"/>
      <w:r w:rsidR="00423566" w:rsidRPr="008C73EC">
        <w:rPr>
          <w:b/>
          <w:bCs/>
        </w:rPr>
        <w:t xml:space="preserve"> </w:t>
      </w:r>
      <w:proofErr w:type="spellStart"/>
      <w:r w:rsidR="00423566" w:rsidRPr="008C73EC">
        <w:rPr>
          <w:b/>
          <w:bCs/>
        </w:rPr>
        <w:t>веб-сайт</w:t>
      </w:r>
      <w:proofErr w:type="spellEnd"/>
      <w:r w:rsidR="00423566" w:rsidRPr="008C73EC">
        <w:rPr>
          <w:b/>
          <w:bCs/>
        </w:rPr>
        <w:t xml:space="preserve"> требует, чтобы все аккредитованные инвесторы должны быть сертифицированы третьей стороной службы и после такой сертификации загружается на наши серверы и должным образом рассмотрены, продажа таких аккредитованных инвестор может быть изменен с "Проверка" на "проверить" и тогда аккредитованный инвестор может участвовать в распределении токенов, как указано в екомкс жетона продажи "</w:t>
      </w:r>
      <w:r w:rsidR="00423566" w:rsidRPr="008C73EC">
        <w:t xml:space="preserve"> </w:t>
      </w:r>
      <w:r w:rsidR="00423566" w:rsidRPr="008C73EC">
        <w:rPr>
          <w:rStyle w:val="Hyperlink"/>
          <w:b/>
          <w:bCs/>
        </w:rPr>
        <w:t>Terms &amp; Conditions</w:t>
      </w:r>
      <w:r w:rsidR="00423566" w:rsidRPr="008C73EC">
        <w:t xml:space="preserve"> </w:t>
      </w:r>
      <w:r w:rsidR="00423566" w:rsidRPr="008C73EC">
        <w:rPr>
          <w:b/>
          <w:bCs/>
        </w:rPr>
        <w:t>".</w:t>
      </w:r>
    </w:p>
    <w:p w14:paraId="5D96AA63" w14:textId="77777777" w:rsidR="00423566" w:rsidRPr="008C73EC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r w:rsidRPr="008C73EC">
        <w:rPr>
          <w:b/>
          <w:bCs/>
        </w:rPr>
        <w:t>Важно вновь заявить, что екомкс маркеры сами по себе не являются ценными бумагами, товарами, свопами по ценным бумагам или товарам или аналогичным финансовым инструментам.</w:t>
      </w:r>
      <w:r w:rsidRPr="008C73EC">
        <w:t xml:space="preserve"> </w:t>
      </w:r>
      <w:r w:rsidRPr="008C73EC">
        <w:rPr>
          <w:b/>
          <w:bCs/>
        </w:rPr>
        <w:t>Екомкс маркеры не предназначены для инвестиционных или спекулятивных целей и не должны рассматриваться как вид инвестиций.</w:t>
      </w:r>
      <w:r w:rsidRPr="008C73EC">
        <w:t xml:space="preserve"> </w:t>
      </w:r>
      <w:r w:rsidRPr="008C73EC">
        <w:rPr>
          <w:b/>
          <w:bCs/>
        </w:rPr>
        <w:t>Тем не менее, граждане США, резиденты и неаккредитованные инвесторы или организации не должны покупать или пытаться приобрести екомкс жетоны.</w:t>
      </w:r>
    </w:p>
    <w:p w14:paraId="7813777F" w14:textId="77777777" w:rsidR="00423566" w:rsidRPr="008C73EC" w:rsidRDefault="00BB7708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hyperlink r:id="rId10" w:history="1"/>
      <w:hyperlink r:id="rId11" w:history="1"/>
      <w:proofErr w:type="spellStart"/>
      <w:r w:rsidR="00423566" w:rsidRPr="008C73EC">
        <w:rPr>
          <w:b/>
          <w:bCs/>
        </w:rPr>
        <w:t>екомкс</w:t>
      </w:r>
      <w:proofErr w:type="spellEnd"/>
      <w:r w:rsidR="00423566" w:rsidRPr="008C73EC">
        <w:rPr>
          <w:b/>
          <w:bCs/>
        </w:rPr>
        <w:t xml:space="preserve"> </w:t>
      </w:r>
      <w:proofErr w:type="spellStart"/>
      <w:r w:rsidR="00423566" w:rsidRPr="008C73EC">
        <w:rPr>
          <w:b/>
          <w:bCs/>
        </w:rPr>
        <w:t>разработчики</w:t>
      </w:r>
      <w:proofErr w:type="spellEnd"/>
      <w:r w:rsidR="00423566" w:rsidRPr="008C73EC">
        <w:rPr>
          <w:b/>
          <w:bCs/>
        </w:rPr>
        <w:t xml:space="preserve"> </w:t>
      </w:r>
      <w:proofErr w:type="spellStart"/>
      <w:r w:rsidR="00423566" w:rsidRPr="008C73EC">
        <w:rPr>
          <w:b/>
          <w:bCs/>
        </w:rPr>
        <w:t>прошли</w:t>
      </w:r>
      <w:proofErr w:type="spellEnd"/>
      <w:r w:rsidR="00423566" w:rsidRPr="008C73EC">
        <w:rPr>
          <w:b/>
          <w:bCs/>
        </w:rPr>
        <w:t xml:space="preserve"> </w:t>
      </w:r>
      <w:proofErr w:type="spellStart"/>
      <w:r w:rsidR="00423566" w:rsidRPr="008C73EC">
        <w:rPr>
          <w:b/>
          <w:bCs/>
        </w:rPr>
        <w:t>большую</w:t>
      </w:r>
      <w:proofErr w:type="spellEnd"/>
      <w:r w:rsidR="00423566" w:rsidRPr="008C73EC">
        <w:rPr>
          <w:b/>
          <w:bCs/>
        </w:rPr>
        <w:t xml:space="preserve"> осторожность, чтобы разработать программное обеспечение TGE держать отдельных граждан США и других неавторизованных лиц от покупки екомкс маркеры и требовать аккредитованных инвесторов, чтобы получить проверено нашим партнером: еарлик </w:t>
      </w:r>
      <w:proofErr w:type="gramStart"/>
      <w:r w:rsidR="00423566" w:rsidRPr="008C73EC">
        <w:rPr>
          <w:b/>
          <w:bCs/>
        </w:rPr>
        <w:t xml:space="preserve">( </w:t>
      </w:r>
      <w:r w:rsidR="00423566" w:rsidRPr="008C73EC">
        <w:t xml:space="preserve"> </w:t>
      </w:r>
      <w:r w:rsidR="00423566" w:rsidRPr="008C73EC">
        <w:rPr>
          <w:rStyle w:val="Hyperlink"/>
          <w:b/>
          <w:bCs/>
        </w:rPr>
        <w:t>https://www.earlyiq.com</w:t>
      </w:r>
      <w:proofErr w:type="gramEnd"/>
      <w:r w:rsidR="00423566" w:rsidRPr="008C73EC">
        <w:t xml:space="preserve"> </w:t>
      </w:r>
      <w:r w:rsidR="00423566" w:rsidRPr="008C73EC">
        <w:rPr>
          <w:b/>
          <w:bCs/>
        </w:rPr>
        <w:t xml:space="preserve"> ) и пройти комплексную проверку под руководством нашего партнера: идентитиминдглобал ( </w:t>
      </w:r>
      <w:r w:rsidR="00423566" w:rsidRPr="008C73EC">
        <w:t xml:space="preserve"> </w:t>
      </w:r>
      <w:r w:rsidR="00423566" w:rsidRPr="008C73EC">
        <w:rPr>
          <w:rStyle w:val="Hyperlink"/>
          <w:b/>
          <w:bCs/>
        </w:rPr>
        <w:t>https://identitymindglobal.com</w:t>
      </w:r>
      <w:r w:rsidR="00423566" w:rsidRPr="008C73EC">
        <w:t xml:space="preserve"> </w:t>
      </w:r>
      <w:r w:rsidR="00423566" w:rsidRPr="008C73EC">
        <w:rPr>
          <w:b/>
          <w:bCs/>
        </w:rPr>
        <w:t xml:space="preserve"> ).</w:t>
      </w:r>
    </w:p>
    <w:p w14:paraId="1DDC33AE" w14:textId="7B339FE0" w:rsidR="00423566" w:rsidRPr="008C73EC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r w:rsidRPr="008C73EC">
        <w:rPr>
          <w:b/>
          <w:bCs/>
        </w:rPr>
        <w:t>Контракт распределения токена екомкс, смарт-контракт екомкс Token, екомкс цепочка, eComX.org веб-сайт и его трансграничная крипто-торговая площадка www. екомкс. World предоставляются по принципу "как есть" и "по мере доступности" без представления, поручительства, обещания или гарантии любого рода, сделанные екомкс.</w:t>
      </w:r>
      <w:r w:rsidRPr="008C73EC">
        <w:t xml:space="preserve"> </w:t>
      </w:r>
      <w:r w:rsidRPr="008C73EC">
        <w:rPr>
          <w:b/>
          <w:bCs/>
        </w:rPr>
        <w:t>Перед покупкой екомкс жетонов, вы должны убедиться, что вы осуществляете свой собственный экспертизы и расследования и тщательно рассмотреть в полном объеме риски, связанные с покупкой екомкс жетоны, как указано в екомкс маркеры про</w:t>
      </w:r>
      <w:r w:rsidR="00AB5A3F">
        <w:rPr>
          <w:b/>
          <w:bCs/>
        </w:rPr>
        <w:t xml:space="preserve">дажи </w:t>
      </w:r>
      <w:proofErr w:type="spellStart"/>
      <w:r w:rsidR="00AB5A3F">
        <w:rPr>
          <w:b/>
          <w:bCs/>
        </w:rPr>
        <w:t>условия</w:t>
      </w:r>
      <w:proofErr w:type="spellEnd"/>
      <w:r w:rsidR="00AB5A3F">
        <w:rPr>
          <w:b/>
          <w:bCs/>
        </w:rPr>
        <w:t xml:space="preserve"> и </w:t>
      </w:r>
      <w:proofErr w:type="spellStart"/>
      <w:r w:rsidR="00AB5A3F">
        <w:rPr>
          <w:b/>
          <w:bCs/>
        </w:rPr>
        <w:t>условия</w:t>
      </w:r>
      <w:proofErr w:type="spellEnd"/>
      <w:r w:rsidR="00AB5A3F">
        <w:rPr>
          <w:b/>
          <w:bCs/>
        </w:rPr>
        <w:t xml:space="preserve"> </w:t>
      </w:r>
      <w:proofErr w:type="spellStart"/>
      <w:r w:rsidR="00AB5A3F">
        <w:rPr>
          <w:b/>
          <w:bCs/>
        </w:rPr>
        <w:t>документ</w:t>
      </w:r>
      <w:proofErr w:type="spellEnd"/>
      <w:r w:rsidRPr="008C73EC">
        <w:rPr>
          <w:b/>
          <w:bCs/>
        </w:rPr>
        <w:t>.</w:t>
      </w:r>
      <w:r w:rsidRPr="008C73EC">
        <w:t xml:space="preserve"> </w:t>
      </w:r>
      <w:r w:rsidRPr="008C73EC">
        <w:rPr>
          <w:b/>
          <w:bCs/>
        </w:rPr>
        <w:t>Покупка екомкс жетонов не подлежит возврату, и покупки не могут быть отменены.</w:t>
      </w:r>
      <w:r w:rsidRPr="008C73EC">
        <w:t xml:space="preserve"> </w:t>
      </w:r>
      <w:r w:rsidRPr="008C73EC">
        <w:rPr>
          <w:b/>
          <w:bCs/>
        </w:rPr>
        <w:t>Ни при каких обстоятельствах вы не будете иметь право получать деньги или компенсацию за любой купленный жетон екомкс или невозможность приобрести екомкс жетоны.</w:t>
      </w:r>
      <w:r w:rsidRPr="008C73EC">
        <w:t xml:space="preserve"> </w:t>
      </w:r>
      <w:bookmarkStart w:id="19" w:name="_GoBack"/>
      <w:bookmarkEnd w:id="19"/>
      <w:r w:rsidRPr="008C73EC">
        <w:rPr>
          <w:b/>
          <w:bCs/>
        </w:rPr>
        <w:t xml:space="preserve">Токены екомкс не имеют никаких других </w:t>
      </w:r>
      <w:r w:rsidRPr="008C73EC">
        <w:rPr>
          <w:b/>
          <w:bCs/>
        </w:rPr>
        <w:lastRenderedPageBreak/>
        <w:t>прав, применений, целей, атрибутов, функциональных возможностей или функций, явных или подразумеваемых помимо тех, которые указаны в настоящем документе и техническом описании.</w:t>
      </w:r>
    </w:p>
    <w:p w14:paraId="0266C579" w14:textId="3BB25413" w:rsidR="00423566" w:rsidRPr="001D5FF9" w:rsidRDefault="00423566" w:rsidP="0049230A">
      <w:pPr>
        <w:pStyle w:val="NormalWeb"/>
        <w:rPr>
          <w:rFonts w:asciiTheme="majorHAnsi" w:hAnsiTheme="majorHAnsi" w:cstheme="majorHAnsi"/>
          <w:sz w:val="22"/>
          <w:szCs w:val="22"/>
        </w:rPr>
      </w:pPr>
    </w:p>
    <w:sectPr w:rsidR="00423566" w:rsidRPr="001D5FF9" w:rsidSect="008D6A60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BB859" w14:textId="77777777" w:rsidR="00BB7708" w:rsidRDefault="00BB7708" w:rsidP="00B340CE">
      <w:r>
        <w:separator/>
      </w:r>
    </w:p>
  </w:endnote>
  <w:endnote w:type="continuationSeparator" w:id="0">
    <w:p w14:paraId="34C2DE97" w14:textId="77777777" w:rsidR="00BB7708" w:rsidRDefault="00BB7708" w:rsidP="00B3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03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6E348D" w14:textId="61977160" w:rsidR="00407A00" w:rsidRDefault="00407A00" w:rsidP="001D68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EBD86C" w14:textId="77777777" w:rsidR="00407A00" w:rsidRDefault="00407A00" w:rsidP="00407A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-2062084985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6316F272" w14:textId="7D30E85C" w:rsidR="00407A00" w:rsidRPr="00407A00" w:rsidRDefault="00407A00" w:rsidP="00407A00">
        <w:pPr>
          <w:pStyle w:val="Footer"/>
          <w:framePr w:wrap="none" w:vAnchor="text" w:hAnchor="page" w:x="5602" w:y="331"/>
          <w:rPr>
            <w:rStyle w:val="PageNumber"/>
            <w:color w:val="808080" w:themeColor="background1" w:themeShade="80"/>
          </w:rPr>
        </w:pPr>
        <w:r w:rsidRPr="00407A00">
          <w:rPr>
            <w:rStyle w:val="PageNumber"/>
            <w:color w:val="808080" w:themeColor="background1" w:themeShade="80"/>
          </w:rPr>
          <w:t xml:space="preserve">   </w:t>
        </w:r>
        <w:r w:rsidRPr="00407A00">
          <w:rPr>
            <w:rStyle w:val="PageNumber"/>
            <w:color w:val="808080" w:themeColor="background1" w:themeShade="80"/>
          </w:rPr>
          <w:fldChar w:fldCharType="begin"/>
        </w:r>
        <w:r w:rsidRPr="00407A00">
          <w:rPr>
            <w:rStyle w:val="PageNumber"/>
            <w:color w:val="808080" w:themeColor="background1" w:themeShade="80"/>
          </w:rPr>
          <w:instrText xml:space="preserve"> PAGE </w:instrText>
        </w:r>
        <w:r w:rsidRPr="00407A00">
          <w:rPr>
            <w:rStyle w:val="PageNumber"/>
            <w:color w:val="808080" w:themeColor="background1" w:themeShade="80"/>
          </w:rPr>
          <w:fldChar w:fldCharType="separate"/>
        </w:r>
        <w:r w:rsidRPr="00407A00">
          <w:rPr>
            <w:rStyle w:val="PageNumber"/>
            <w:noProof/>
            <w:color w:val="808080" w:themeColor="background1" w:themeShade="80"/>
          </w:rPr>
          <w:t>5</w:t>
        </w:r>
        <w:r w:rsidRPr="00407A00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718EA17B" w14:textId="72254425" w:rsidR="008772E3" w:rsidRPr="00407A00" w:rsidRDefault="00BB7708" w:rsidP="00407A00">
    <w:pPr>
      <w:pStyle w:val="Footer"/>
      <w:ind w:right="360"/>
      <w:rPr>
        <w:rFonts w:asciiTheme="majorHAnsi" w:hAnsiTheme="majorHAnsi" w:cstheme="majorHAnsi"/>
        <w:color w:val="808080" w:themeColor="background1" w:themeShade="80"/>
        <w:sz w:val="22"/>
        <w:szCs w:val="22"/>
      </w:rPr>
    </w:pPr>
    <w:hyperlink r:id="rId1" w:history="1"/>
    <w:r w:rsidR="00407A00" w:rsidRPr="00407A00">
      <w:t xml:space="preserve">eComX.org </w:t>
    </w:r>
    <w:proofErr w:type="spellStart"/>
    <w:r w:rsidR="00407A00" w:rsidRPr="00407A00">
      <w:t>является</w:t>
    </w:r>
    <w:proofErr w:type="spellEnd"/>
    <w:r w:rsidR="00407A00" w:rsidRPr="00407A00">
      <w:t xml:space="preserve"> </w:t>
    </w:r>
    <w:proofErr w:type="spellStart"/>
    <w:r w:rsidR="00407A00" w:rsidRPr="00407A00">
      <w:t>неправительственной</w:t>
    </w:r>
    <w:proofErr w:type="spellEnd"/>
    <w:r w:rsidR="00407A00" w:rsidRPr="00407A00">
      <w:t xml:space="preserve"> </w:t>
    </w:r>
    <w:proofErr w:type="spellStart"/>
    <w:r w:rsidR="00407A00" w:rsidRPr="00407A00">
      <w:t>организацией</w:t>
    </w:r>
    <w:proofErr w:type="spellEnd"/>
    <w:r w:rsidR="00407A00" w:rsidRPr="00407A00">
      <w:t xml:space="preserve">, базирующейся </w:t>
    </w:r>
    <w:proofErr w:type="spellStart"/>
    <w:r w:rsidR="00407A00" w:rsidRPr="00407A00">
      <w:t>на</w:t>
    </w:r>
    <w:proofErr w:type="spellEnd"/>
    <w:r w:rsidR="00407A00" w:rsidRPr="00407A00">
      <w:t xml:space="preserve"> США и </w:t>
    </w:r>
    <w:proofErr w:type="spellStart"/>
    <w:r w:rsidR="00407A00" w:rsidRPr="00407A00">
      <w:t>Швейцарии</w:t>
    </w:r>
    <w:proofErr w:type="spellEnd"/>
    <w:r w:rsidR="00AB5A3F">
      <w:t xml:space="preserve">   </w:t>
    </w:r>
    <w:proofErr w:type="gramStart"/>
    <w:r w:rsidR="00AB5A3F">
      <w:t xml:space="preserve">-  </w:t>
    </w:r>
    <w:proofErr w:type="spellStart"/>
    <w:r w:rsidR="00407A00" w:rsidRPr="00407A00">
      <w:t>Отправить</w:t>
    </w:r>
    <w:proofErr w:type="spellEnd"/>
    <w:proofErr w:type="gramEnd"/>
    <w:r w:rsidR="00407A00" w:rsidRPr="00407A00">
      <w:t xml:space="preserve"> </w:t>
    </w:r>
    <w:proofErr w:type="spellStart"/>
    <w:r w:rsidR="00407A00" w:rsidRPr="00407A00">
      <w:t>по</w:t>
    </w:r>
    <w:proofErr w:type="spellEnd"/>
    <w:r w:rsidR="00407A00" w:rsidRPr="00407A00">
      <w:t xml:space="preserve"> </w:t>
    </w:r>
    <w:proofErr w:type="spellStart"/>
    <w:r w:rsidR="00407A00" w:rsidRPr="00407A00">
      <w:t>электронной</w:t>
    </w:r>
    <w:proofErr w:type="spellEnd"/>
    <w:r w:rsidR="00407A00" w:rsidRPr="00407A00">
      <w:t xml:space="preserve"> </w:t>
    </w:r>
    <w:proofErr w:type="spellStart"/>
    <w:r w:rsidR="00407A00" w:rsidRPr="00407A00">
      <w:t>почте</w:t>
    </w:r>
    <w:proofErr w:type="spellEnd"/>
    <w:r w:rsidR="00407A00" w:rsidRPr="00407A00">
      <w:t xml:space="preserve">: info@eComX.org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5CBC0" w14:textId="77777777" w:rsidR="00BB7708" w:rsidRDefault="00BB7708" w:rsidP="00B340CE">
      <w:r>
        <w:separator/>
      </w:r>
    </w:p>
  </w:footnote>
  <w:footnote w:type="continuationSeparator" w:id="0">
    <w:p w14:paraId="63F47C97" w14:textId="77777777" w:rsidR="00BB7708" w:rsidRDefault="00BB7708" w:rsidP="00B3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F3E6" w14:textId="4854E6C4" w:rsidR="002D2AB6" w:rsidRDefault="002D2AB6" w:rsidP="002D2AB6">
    <w:pPr>
      <w:pStyle w:val="Header"/>
      <w:jc w:val="center"/>
    </w:pPr>
    <w:r>
      <w:rPr>
        <w:noProof/>
      </w:rPr>
      <w:drawing>
        <wp:inline distT="0" distB="0" distL="0" distR="0" wp14:anchorId="7C25BA9A" wp14:editId="5C9A19A7">
          <wp:extent cx="1011219" cy="910432"/>
          <wp:effectExtent l="0" t="0" r="508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omx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317" cy="924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3DDFBF" w14:textId="5F78AF0B" w:rsidR="00B340CE" w:rsidRDefault="001E6ABF" w:rsidP="002D2AB6">
    <w:pPr>
      <w:pStyle w:val="Header"/>
      <w:jc w:val="center"/>
    </w:pPr>
    <w:proofErr w:type="spellStart"/>
    <w:r>
      <w:t>платформу</w:t>
    </w:r>
    <w:proofErr w:type="spellEnd"/>
    <w:r>
      <w:t xml:space="preserve"> </w:t>
    </w:r>
    <w:proofErr w:type="spellStart"/>
    <w:r>
      <w:t>для</w:t>
    </w:r>
    <w:proofErr w:type="spellEnd"/>
    <w:r>
      <w:t xml:space="preserve"> </w:t>
    </w:r>
    <w:proofErr w:type="spellStart"/>
    <w:r>
      <w:t>цепочки</w:t>
    </w:r>
    <w:proofErr w:type="spellEnd"/>
    <w:r>
      <w:t xml:space="preserve"> </w:t>
    </w:r>
    <w:proofErr w:type="spellStart"/>
    <w:r>
      <w:t>крипто-электронной</w:t>
    </w:r>
    <w:proofErr w:type="spellEnd"/>
    <w:r>
      <w:t xml:space="preserve"> </w:t>
    </w:r>
    <w:proofErr w:type="spellStart"/>
    <w:r>
      <w:t>коммерции</w:t>
    </w:r>
    <w:proofErr w:type="spellEnd"/>
  </w:p>
  <w:p w14:paraId="37B20C9B" w14:textId="77777777" w:rsidR="002D2AB6" w:rsidRPr="001E6ABF" w:rsidRDefault="002D2AB6" w:rsidP="002D2A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752"/>
    <w:multiLevelType w:val="hybridMultilevel"/>
    <w:tmpl w:val="DF48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8B6"/>
    <w:multiLevelType w:val="hybridMultilevel"/>
    <w:tmpl w:val="6A30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15575"/>
    <w:multiLevelType w:val="hybridMultilevel"/>
    <w:tmpl w:val="CF4E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9"/>
    <w:rsid w:val="00051CB2"/>
    <w:rsid w:val="000777E8"/>
    <w:rsid w:val="00091377"/>
    <w:rsid w:val="000D40F2"/>
    <w:rsid w:val="000F2944"/>
    <w:rsid w:val="00102688"/>
    <w:rsid w:val="00107E32"/>
    <w:rsid w:val="00122A58"/>
    <w:rsid w:val="00183EBD"/>
    <w:rsid w:val="00190D1F"/>
    <w:rsid w:val="00195CD8"/>
    <w:rsid w:val="001964F2"/>
    <w:rsid w:val="001B4A04"/>
    <w:rsid w:val="001D5FF9"/>
    <w:rsid w:val="001E6ABF"/>
    <w:rsid w:val="002274FA"/>
    <w:rsid w:val="00292921"/>
    <w:rsid w:val="002A4A25"/>
    <w:rsid w:val="002B4A12"/>
    <w:rsid w:val="002D2AB6"/>
    <w:rsid w:val="00321DF7"/>
    <w:rsid w:val="0034486C"/>
    <w:rsid w:val="003C35C2"/>
    <w:rsid w:val="00407A00"/>
    <w:rsid w:val="00423566"/>
    <w:rsid w:val="004379BF"/>
    <w:rsid w:val="00442150"/>
    <w:rsid w:val="00450BFD"/>
    <w:rsid w:val="00475034"/>
    <w:rsid w:val="0049196C"/>
    <w:rsid w:val="0049230A"/>
    <w:rsid w:val="004E1494"/>
    <w:rsid w:val="004F000F"/>
    <w:rsid w:val="004F20BE"/>
    <w:rsid w:val="00522F6E"/>
    <w:rsid w:val="00565F68"/>
    <w:rsid w:val="00594786"/>
    <w:rsid w:val="005A21DD"/>
    <w:rsid w:val="005D710F"/>
    <w:rsid w:val="00607BB7"/>
    <w:rsid w:val="006253E4"/>
    <w:rsid w:val="00637558"/>
    <w:rsid w:val="0065328B"/>
    <w:rsid w:val="0067694E"/>
    <w:rsid w:val="00680110"/>
    <w:rsid w:val="00687BAB"/>
    <w:rsid w:val="006A1122"/>
    <w:rsid w:val="006E6567"/>
    <w:rsid w:val="0071745C"/>
    <w:rsid w:val="00792A03"/>
    <w:rsid w:val="007A13D0"/>
    <w:rsid w:val="007B3EB4"/>
    <w:rsid w:val="007B4BF7"/>
    <w:rsid w:val="007D45F1"/>
    <w:rsid w:val="00810BD9"/>
    <w:rsid w:val="00866D68"/>
    <w:rsid w:val="00870963"/>
    <w:rsid w:val="00873EA5"/>
    <w:rsid w:val="008772E3"/>
    <w:rsid w:val="008C73EC"/>
    <w:rsid w:val="008D6A60"/>
    <w:rsid w:val="009019E5"/>
    <w:rsid w:val="0091117A"/>
    <w:rsid w:val="00927B90"/>
    <w:rsid w:val="00957151"/>
    <w:rsid w:val="00975E38"/>
    <w:rsid w:val="009C5FA3"/>
    <w:rsid w:val="009E4435"/>
    <w:rsid w:val="00A213C7"/>
    <w:rsid w:val="00A42DEE"/>
    <w:rsid w:val="00A46E4B"/>
    <w:rsid w:val="00A72402"/>
    <w:rsid w:val="00A94BBC"/>
    <w:rsid w:val="00AB3D26"/>
    <w:rsid w:val="00AB5A3F"/>
    <w:rsid w:val="00AD67AC"/>
    <w:rsid w:val="00AF07D2"/>
    <w:rsid w:val="00B054FA"/>
    <w:rsid w:val="00B106B7"/>
    <w:rsid w:val="00B340CE"/>
    <w:rsid w:val="00B6577D"/>
    <w:rsid w:val="00B72A29"/>
    <w:rsid w:val="00B868E7"/>
    <w:rsid w:val="00BB7708"/>
    <w:rsid w:val="00C23302"/>
    <w:rsid w:val="00C7233C"/>
    <w:rsid w:val="00C951F8"/>
    <w:rsid w:val="00CA29B6"/>
    <w:rsid w:val="00CC6F9E"/>
    <w:rsid w:val="00D01042"/>
    <w:rsid w:val="00D15794"/>
    <w:rsid w:val="00D712B5"/>
    <w:rsid w:val="00D81A92"/>
    <w:rsid w:val="00D83552"/>
    <w:rsid w:val="00E24BC7"/>
    <w:rsid w:val="00E35F9F"/>
    <w:rsid w:val="00E72A54"/>
    <w:rsid w:val="00E830CB"/>
    <w:rsid w:val="00E86967"/>
    <w:rsid w:val="00E92441"/>
    <w:rsid w:val="00F37B5D"/>
    <w:rsid w:val="00F73B99"/>
    <w:rsid w:val="00F75066"/>
    <w:rsid w:val="00FC0C23"/>
    <w:rsid w:val="00FC5208"/>
    <w:rsid w:val="00FC7E1D"/>
    <w:rsid w:val="00FD0B2D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5336"/>
  <w15:chartTrackingRefBased/>
  <w15:docId w15:val="{2814E3C5-1EEA-D944-950A-ACDCD7C2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3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4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0CE"/>
  </w:style>
  <w:style w:type="paragraph" w:styleId="Footer">
    <w:name w:val="footer"/>
    <w:basedOn w:val="Normal"/>
    <w:link w:val="FooterChar"/>
    <w:uiPriority w:val="99"/>
    <w:unhideWhenUsed/>
    <w:rsid w:val="00B34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0CE"/>
  </w:style>
  <w:style w:type="paragraph" w:styleId="BalloonText">
    <w:name w:val="Balloon Text"/>
    <w:basedOn w:val="Normal"/>
    <w:link w:val="BalloonTextChar"/>
    <w:uiPriority w:val="99"/>
    <w:semiHidden/>
    <w:unhideWhenUsed/>
    <w:rsid w:val="00F37B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01042"/>
    <w:pPr>
      <w:ind w:left="720"/>
      <w:contextualSpacing/>
    </w:pPr>
  </w:style>
  <w:style w:type="table" w:styleId="TableGrid">
    <w:name w:val="Table Grid"/>
    <w:basedOn w:val="TableNormal"/>
    <w:uiPriority w:val="39"/>
    <w:rsid w:val="000D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2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3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49230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A0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0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entitymindglob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arlyi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mx.org/Documents.htm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ComX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Clarke</dc:creator>
  <cp:keywords/>
  <dc:description/>
  <cp:lastModifiedBy>Hernan Clarke</cp:lastModifiedBy>
  <cp:revision>3</cp:revision>
  <cp:lastPrinted>2018-09-28T18:52:00Z</cp:lastPrinted>
  <dcterms:created xsi:type="dcterms:W3CDTF">2018-09-28T18:52:00Z</dcterms:created>
  <dcterms:modified xsi:type="dcterms:W3CDTF">2018-09-28T19:00:00Z</dcterms:modified>
</cp:coreProperties>
</file>