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Heading1"/>
      </w:pPr>
      <w:bookmarkStart w:id="20" w:name="drivers-description"/>
      <w:r>
        <w:t xml:space="preserve">Drivers description</w:t>
      </w:r>
      <w:bookmarkEnd w:id="20"/>
    </w:p>
    <w:p>
      <w:pPr>
        <w:pStyle w:val="FirstParagraph"/>
      </w:pPr>
      <w:r>
        <w:t xml:space="preserve">Table S1. List of drivers currently available on</w:t>
      </w:r>
      <w:r>
        <w:t xml:space="preserve"> </w:t>
      </w:r>
      <w:r>
        <w:rPr>
          <w:i/>
        </w:rPr>
        <w:t xml:space="preserve">eDrivers</w:t>
      </w:r>
      <w:r>
        <w:t xml:space="preserve"> </w:t>
      </w:r>
      <w:r>
        <w:t xml:space="preserve">along with their respective accronym used in the figures in the supplementary material.</w:t>
      </w:r>
    </w:p>
    <w:tbl>
      <w:tblPr>
        <w:tblStyle w:val="Table"/>
        <w:tblW w:type="pct" w:w="5000.0"/>
        <w:tblLook w:firstRow="1"/>
      </w:tblPr>
      <w:tblGrid>
        <w:gridCol w:w="1250"/>
        <w:gridCol w:w="2223"/>
        <w:gridCol w:w="1528"/>
        <w:gridCol w:w="2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Drivers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p>
            <w:pPr>
              <w:pStyle w:val="Compact"/>
              <w:jc w:val="left"/>
            </w:pPr>
            <w:r>
              <w:t xml:space="preserve">Aragonite</w:t>
            </w:r>
          </w:p>
        </w:tc>
        <w:tc>
          <w:p>
            <w:pPr>
              <w:pStyle w:val="Compact"/>
              <w:jc w:val="left"/>
            </w:pPr>
            <w:r>
              <w:t xml:space="preserve">ACID</w:t>
            </w:r>
          </w:p>
        </w:tc>
        <w:tc>
          <w:p>
            <w:pPr>
              <w:pStyle w:val="Compact"/>
              <w:jc w:val="left"/>
            </w:pPr>
            <w:r>
              <w:t xml:space="preserve">(Starr,</w:t>
            </w:r>
            <w:r>
              <w:t xml:space="preserve"> </w:t>
            </w:r>
            <w:hyperlink w:anchor="ref-starr2019">
              <w:r>
                <w:rPr>
                  <w:rStyle w:val="Hyperlink"/>
                </w:rPr>
                <w:t xml:space="preserve">2019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p>
            <w:pPr>
              <w:pStyle w:val="Compact"/>
              <w:jc w:val="left"/>
            </w:pPr>
            <w:r>
              <w:t xml:space="preserve">Hypoxia</w:t>
            </w:r>
          </w:p>
        </w:tc>
        <w:tc>
          <w:p>
            <w:pPr>
              <w:pStyle w:val="Compact"/>
              <w:jc w:val="left"/>
            </w:pPr>
            <w:r>
              <w:t xml:space="preserve">HYP</w:t>
            </w:r>
          </w:p>
        </w:tc>
        <w:tc>
          <w:p>
            <w:pPr>
              <w:pStyle w:val="Compact"/>
              <w:jc w:val="left"/>
            </w:pPr>
            <w:r>
              <w:t xml:space="preserve">(Blais et al.,</w:t>
            </w:r>
            <w:r>
              <w:t xml:space="preserve"> </w:t>
            </w:r>
            <w:hyperlink w:anchor="ref-blais2019">
              <w:r>
                <w:rPr>
                  <w:rStyle w:val="Hyperlink"/>
                </w:rPr>
                <w:t xml:space="preserve">2019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p>
            <w:pPr>
              <w:pStyle w:val="Compact"/>
              <w:jc w:val="left"/>
            </w:pPr>
            <w:r>
              <w:t xml:space="preserve">Sea bottom temperature</w:t>
            </w:r>
          </w:p>
        </w:tc>
        <w:tc>
          <w:p>
            <w:pPr>
              <w:pStyle w:val="Compact"/>
              <w:jc w:val="left"/>
            </w:pPr>
            <w:r>
              <w:t xml:space="preserve">SBT-</w:t>
            </w:r>
          </w:p>
        </w:tc>
        <w:tc>
          <w:p>
            <w:pPr>
              <w:pStyle w:val="Compact"/>
              <w:jc w:val="left"/>
            </w:pPr>
            <w:r>
              <w:t xml:space="preserve">(Galbraith et al.,</w:t>
            </w:r>
            <w:r>
              <w:t xml:space="preserve"> </w:t>
            </w:r>
            <w:hyperlink w:anchor="ref-galbraith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p>
            <w:pPr>
              <w:pStyle w:val="Compact"/>
              <w:jc w:val="left"/>
            </w:pPr>
            <w:r>
              <w:t xml:space="preserve">Sea bottom temperature</w:t>
            </w:r>
          </w:p>
        </w:tc>
        <w:tc>
          <w:p>
            <w:pPr>
              <w:pStyle w:val="Compact"/>
              <w:jc w:val="left"/>
            </w:pPr>
            <w:r>
              <w:t xml:space="preserve">SBT+</w:t>
            </w:r>
          </w:p>
        </w:tc>
        <w:tc>
          <w:p>
            <w:pPr>
              <w:pStyle w:val="Compact"/>
              <w:jc w:val="left"/>
            </w:pPr>
            <w:r>
              <w:t xml:space="preserve">(Galbraith et al.,</w:t>
            </w:r>
            <w:r>
              <w:t xml:space="preserve"> </w:t>
            </w:r>
            <w:hyperlink w:anchor="ref-galbraith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p>
            <w:pPr>
              <w:pStyle w:val="Compact"/>
              <w:jc w:val="left"/>
            </w:pPr>
            <w:r>
              <w:t xml:space="preserve">Sea level rise</w:t>
            </w:r>
          </w:p>
        </w:tc>
        <w:tc>
          <w:p>
            <w:pPr>
              <w:pStyle w:val="Compact"/>
              <w:jc w:val="left"/>
            </w:pPr>
            <w:r>
              <w:t xml:space="preserve">SLR</w:t>
            </w:r>
          </w:p>
        </w:tc>
        <w:tc>
          <w:p>
            <w:pPr>
              <w:pStyle w:val="Compact"/>
              <w:jc w:val="left"/>
            </w:pPr>
            <w:r>
              <w:t xml:space="preserve">(Halpern et al.,</w:t>
            </w:r>
            <w:r>
              <w:t xml:space="preserve"> </w:t>
            </w:r>
            <w:hyperlink w:anchor="ref-halpern2015">
              <w:r>
                <w:rPr>
                  <w:rStyle w:val="Hyperlink"/>
                </w:rPr>
                <w:t xml:space="preserve">2015</w:t>
              </w:r>
            </w:hyperlink>
            <w:hyperlink w:anchor="ref-halpern2015">
              <w:r>
                <w:rPr>
                  <w:rStyle w:val="Hyperlink"/>
                </w:rPr>
                <w:t xml:space="preserve">a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p>
            <w:pPr>
              <w:pStyle w:val="Compact"/>
              <w:jc w:val="left"/>
            </w:pPr>
            <w:r>
              <w:t xml:space="preserve">Sea surface temperature</w:t>
            </w:r>
          </w:p>
        </w:tc>
        <w:tc>
          <w:p>
            <w:pPr>
              <w:pStyle w:val="Compact"/>
              <w:jc w:val="left"/>
            </w:pPr>
            <w:r>
              <w:t xml:space="preserve">SST-</w:t>
            </w:r>
          </w:p>
        </w:tc>
        <w:tc>
          <w:p>
            <w:pPr>
              <w:pStyle w:val="Compact"/>
              <w:jc w:val="left"/>
            </w:pPr>
            <w:r>
              <w:t xml:space="preserve">(Galbraith et al.,</w:t>
            </w:r>
            <w:r>
              <w:t xml:space="preserve"> </w:t>
            </w:r>
            <w:hyperlink w:anchor="ref-galbraith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p>
            <w:pPr>
              <w:pStyle w:val="Compact"/>
              <w:jc w:val="left"/>
            </w:pPr>
            <w:r>
              <w:t xml:space="preserve">Sea surface temperature</w:t>
            </w:r>
          </w:p>
        </w:tc>
        <w:tc>
          <w:p>
            <w:pPr>
              <w:pStyle w:val="Compact"/>
              <w:jc w:val="left"/>
            </w:pPr>
            <w:r>
              <w:t xml:space="preserve">SST+</w:t>
            </w:r>
          </w:p>
        </w:tc>
        <w:tc>
          <w:p>
            <w:pPr>
              <w:pStyle w:val="Compact"/>
              <w:jc w:val="left"/>
            </w:pPr>
            <w:r>
              <w:t xml:space="preserve">(Galbraith et al.,</w:t>
            </w:r>
            <w:r>
              <w:t xml:space="preserve"> </w:t>
            </w:r>
            <w:hyperlink w:anchor="ref-galbraith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left"/>
            </w:pPr>
            <w:r>
              <w:t xml:space="preserve">Aquaculture</w:t>
            </w:r>
          </w:p>
        </w:tc>
        <w:tc>
          <w:p>
            <w:pPr>
              <w:pStyle w:val="Compact"/>
              <w:jc w:val="left"/>
            </w:pPr>
            <w:r>
              <w:t xml:space="preserve">AQUA</w:t>
            </w:r>
          </w:p>
        </w:tc>
        <w:tc>
          <w:p>
            <w:pPr>
              <w:pStyle w:val="Compact"/>
              <w:jc w:val="left"/>
            </w:pPr>
            <w:r>
              <w:t xml:space="preserve">(AAF,</w:t>
            </w:r>
            <w:r>
              <w:t xml:space="preserve"> </w:t>
            </w:r>
            <w:hyperlink w:anchor="ref-aaf2016">
              <w:r>
                <w:rPr>
                  <w:rStyle w:val="Hyperlink"/>
                </w:rPr>
                <w:t xml:space="preserve">2016</w:t>
              </w:r>
            </w:hyperlink>
            <w:r>
              <w:t xml:space="preserve">; DFO,</w:t>
            </w:r>
            <w:r>
              <w:t xml:space="preserve"> </w:t>
            </w:r>
            <w:hyperlink w:anchor="ref-dfo2016a">
              <w:r>
                <w:rPr>
                  <w:rStyle w:val="Hyperlink"/>
                </w:rPr>
                <w:t xml:space="preserve">2016</w:t>
              </w:r>
            </w:hyperlink>
            <w:hyperlink w:anchor="ref-dfo2016a">
              <w:r>
                <w:rPr>
                  <w:rStyle w:val="Hyperlink"/>
                </w:rPr>
                <w:t xml:space="preserve">a</w:t>
              </w:r>
            </w:hyperlink>
            <w:r>
              <w:t xml:space="preserve">; FA,</w:t>
            </w:r>
            <w:r>
              <w:t xml:space="preserve"> </w:t>
            </w:r>
            <w:hyperlink w:anchor="ref-fa2016">
              <w:r>
                <w:rPr>
                  <w:rStyle w:val="Hyperlink"/>
                </w:rPr>
                <w:t xml:space="preserve">2016</w:t>
              </w:r>
            </w:hyperlink>
            <w:r>
              <w:t xml:space="preserve">; FFA,</w:t>
            </w:r>
            <w:r>
              <w:t xml:space="preserve"> </w:t>
            </w:r>
            <w:hyperlink w:anchor="ref-ffa2016">
              <w:r>
                <w:rPr>
                  <w:rStyle w:val="Hyperlink"/>
                </w:rPr>
                <w:t xml:space="preserve">2016</w:t>
              </w:r>
            </w:hyperlink>
            <w:r>
              <w:t xml:space="preserve">; MAPAQ,</w:t>
            </w:r>
            <w:r>
              <w:t xml:space="preserve"> </w:t>
            </w:r>
            <w:hyperlink w:anchor="ref-mapaq2016">
              <w:r>
                <w:rPr>
                  <w:rStyle w:val="Hyperlink"/>
                </w:rPr>
                <w:t xml:space="preserve">2016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left"/>
            </w:pPr>
            <w:r>
              <w:t xml:space="preserve">Coastal development</w:t>
            </w:r>
          </w:p>
        </w:tc>
        <w:tc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p>
            <w:pPr>
              <w:pStyle w:val="Compact"/>
              <w:jc w:val="left"/>
            </w:pPr>
            <w:r>
              <w:t xml:space="preserve">(Earth observation group,</w:t>
            </w:r>
            <w:r>
              <w:t xml:space="preserve"> </w:t>
            </w:r>
            <w:hyperlink w:anchor="ref-earthobservationgroup2019">
              <w:r>
                <w:rPr>
                  <w:rStyle w:val="Hyperlink"/>
                </w:rPr>
                <w:t xml:space="preserve">2019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left"/>
            </w:pPr>
            <w:r>
              <w:t xml:space="preserve">Direct human impact</w:t>
            </w:r>
          </w:p>
        </w:tc>
        <w:tc>
          <w:p>
            <w:pPr>
              <w:pStyle w:val="Compact"/>
              <w:jc w:val="left"/>
            </w:pPr>
            <w:r>
              <w:t xml:space="preserve">DHI</w:t>
            </w:r>
          </w:p>
        </w:tc>
        <w:tc>
          <w:p>
            <w:pPr>
              <w:pStyle w:val="Compact"/>
              <w:jc w:val="left"/>
            </w:pPr>
            <w:r>
              <w:t xml:space="preserve">(Statistics-Canada,</w:t>
            </w:r>
            <w:r>
              <w:t xml:space="preserve"> </w:t>
            </w:r>
            <w:hyperlink w:anchor="ref-statistics-canada2017">
              <w:r>
                <w:rPr>
                  <w:rStyle w:val="Hyperlink"/>
                </w:rPr>
                <w:t xml:space="preserve">2017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left"/>
            </w:pPr>
            <w:r>
              <w:t xml:space="preserve">Inorganic pollution</w:t>
            </w:r>
          </w:p>
        </w:tc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(Halpern et al.,</w:t>
            </w:r>
            <w:r>
              <w:t xml:space="preserve"> </w:t>
            </w:r>
            <w:hyperlink w:anchor="ref-halpern2015">
              <w:r>
                <w:rPr>
                  <w:rStyle w:val="Hyperlink"/>
                </w:rPr>
                <w:t xml:space="preserve">2015</w:t>
              </w:r>
            </w:hyperlink>
            <w:hyperlink w:anchor="ref-halpern2015">
              <w:r>
                <w:rPr>
                  <w:rStyle w:val="Hyperlink"/>
                </w:rPr>
                <w:t xml:space="preserve">a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left"/>
            </w:pPr>
            <w:r>
              <w:t xml:space="preserve">Nutrient import</w:t>
            </w:r>
          </w:p>
        </w:tc>
        <w:tc>
          <w:p>
            <w:pPr>
              <w:pStyle w:val="Compact"/>
              <w:jc w:val="left"/>
            </w:pPr>
            <w:r>
              <w:t xml:space="preserve">NI</w:t>
            </w:r>
          </w:p>
        </w:tc>
        <w:tc>
          <w:p>
            <w:pPr>
              <w:pStyle w:val="Compact"/>
              <w:jc w:val="left"/>
            </w:pPr>
            <w:r>
              <w:t xml:space="preserve">(Halpern et al.,</w:t>
            </w:r>
            <w:r>
              <w:t xml:space="preserve"> </w:t>
            </w:r>
            <w:hyperlink w:anchor="ref-halpern2015">
              <w:r>
                <w:rPr>
                  <w:rStyle w:val="Hyperlink"/>
                </w:rPr>
                <w:t xml:space="preserve">2015</w:t>
              </w:r>
            </w:hyperlink>
            <w:hyperlink w:anchor="ref-halpern2015">
              <w:r>
                <w:rPr>
                  <w:rStyle w:val="Hyperlink"/>
                </w:rPr>
                <w:t xml:space="preserve">a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left"/>
            </w:pPr>
            <w:r>
              <w:t xml:space="preserve">Organic pollution</w:t>
            </w:r>
          </w:p>
        </w:tc>
        <w:tc>
          <w:p>
            <w:pPr>
              <w:pStyle w:val="Compact"/>
              <w:jc w:val="left"/>
            </w:pPr>
            <w:r>
              <w:t xml:space="preserve">OP</w:t>
            </w:r>
          </w:p>
        </w:tc>
        <w:tc>
          <w:p>
            <w:pPr>
              <w:pStyle w:val="Compact"/>
              <w:jc w:val="left"/>
            </w:pPr>
            <w:r>
              <w:t xml:space="preserve">(Halpern et al.,</w:t>
            </w:r>
            <w:r>
              <w:t xml:space="preserve"> </w:t>
            </w:r>
            <w:hyperlink w:anchor="ref-halpern2015">
              <w:r>
                <w:rPr>
                  <w:rStyle w:val="Hyperlink"/>
                </w:rPr>
                <w:t xml:space="preserve">2015</w:t>
              </w:r>
            </w:hyperlink>
            <w:hyperlink w:anchor="ref-halpern2015">
              <w:r>
                <w:rPr>
                  <w:rStyle w:val="Hyperlink"/>
                </w:rPr>
                <w:t xml:space="preserve">a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left"/>
            </w:pPr>
            <w:r>
              <w:t xml:space="preserve">Toxic algae</w:t>
            </w:r>
          </w:p>
        </w:tc>
        <w:tc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p>
            <w:pPr>
              <w:pStyle w:val="Compact"/>
              <w:jc w:val="left"/>
            </w:pPr>
            <w:r>
              <w:t xml:space="preserve">(Bates,</w:t>
            </w:r>
            <w:r>
              <w:t xml:space="preserve"> </w:t>
            </w:r>
            <w:hyperlink w:anchor="ref-bates2019">
              <w:r>
                <w:rPr>
                  <w:rStyle w:val="Hyperlink"/>
                </w:rPr>
                <w:t xml:space="preserve">2019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  <w:tc>
          <w:p>
            <w:pPr>
              <w:pStyle w:val="Compact"/>
              <w:jc w:val="left"/>
            </w:pPr>
            <w:r>
              <w:t xml:space="preserve">Demersal, destructive</w:t>
            </w:r>
          </w:p>
        </w:tc>
        <w:tc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p>
            <w:pPr>
              <w:pStyle w:val="Compact"/>
              <w:jc w:val="left"/>
            </w:pPr>
            <w:r>
              <w:t xml:space="preserve">(DFO,</w:t>
            </w:r>
            <w:r>
              <w:t xml:space="preserve"> </w:t>
            </w:r>
            <w:hyperlink w:anchor="ref-dfo2016">
              <w:r>
                <w:rPr>
                  <w:rStyle w:val="Hyperlink"/>
                </w:rPr>
                <w:t xml:space="preserve">2016</w:t>
              </w:r>
            </w:hyperlink>
            <w:hyperlink w:anchor="ref-dfo2016">
              <w:r>
                <w:rPr>
                  <w:rStyle w:val="Hyperlink"/>
                </w:rPr>
                <w:t xml:space="preserve">b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  <w:tc>
          <w:p>
            <w:pPr>
              <w:pStyle w:val="Compact"/>
              <w:jc w:val="left"/>
            </w:pPr>
            <w:r>
              <w:t xml:space="preserve">Demersal, non-destructive, high-bycatch</w:t>
            </w:r>
          </w:p>
        </w:tc>
        <w:tc>
          <w:p>
            <w:pPr>
              <w:pStyle w:val="Compact"/>
              <w:jc w:val="left"/>
            </w:pPr>
            <w:r>
              <w:t xml:space="preserve">DNH</w:t>
            </w:r>
          </w:p>
        </w:tc>
        <w:tc>
          <w:p>
            <w:pPr>
              <w:pStyle w:val="Compact"/>
              <w:jc w:val="left"/>
            </w:pPr>
            <w:r>
              <w:t xml:space="preserve">(DFO,</w:t>
            </w:r>
            <w:r>
              <w:t xml:space="preserve"> </w:t>
            </w:r>
            <w:hyperlink w:anchor="ref-dfo2016">
              <w:r>
                <w:rPr>
                  <w:rStyle w:val="Hyperlink"/>
                </w:rPr>
                <w:t xml:space="preserve">2016</w:t>
              </w:r>
            </w:hyperlink>
            <w:hyperlink w:anchor="ref-dfo2016">
              <w:r>
                <w:rPr>
                  <w:rStyle w:val="Hyperlink"/>
                </w:rPr>
                <w:t xml:space="preserve">b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  <w:tc>
          <w:p>
            <w:pPr>
              <w:pStyle w:val="Compact"/>
              <w:jc w:val="left"/>
            </w:pPr>
            <w:r>
              <w:t xml:space="preserve">Demersal, non-destructive, low-bycatch</w:t>
            </w:r>
          </w:p>
        </w:tc>
        <w:tc>
          <w:p>
            <w:pPr>
              <w:pStyle w:val="Compact"/>
              <w:jc w:val="left"/>
            </w:pPr>
            <w:r>
              <w:t xml:space="preserve">DNL</w:t>
            </w:r>
          </w:p>
        </w:tc>
        <w:tc>
          <w:p>
            <w:pPr>
              <w:pStyle w:val="Compact"/>
              <w:jc w:val="left"/>
            </w:pPr>
            <w:r>
              <w:t xml:space="preserve">(DFO,</w:t>
            </w:r>
            <w:r>
              <w:t xml:space="preserve"> </w:t>
            </w:r>
            <w:hyperlink w:anchor="ref-dfo2016">
              <w:r>
                <w:rPr>
                  <w:rStyle w:val="Hyperlink"/>
                </w:rPr>
                <w:t xml:space="preserve">2016</w:t>
              </w:r>
            </w:hyperlink>
            <w:hyperlink w:anchor="ref-dfo2016">
              <w:r>
                <w:rPr>
                  <w:rStyle w:val="Hyperlink"/>
                </w:rPr>
                <w:t xml:space="preserve">b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  <w:tc>
          <w:p>
            <w:pPr>
              <w:pStyle w:val="Compact"/>
              <w:jc w:val="left"/>
            </w:pPr>
            <w:r>
              <w:t xml:space="preserve">Pelagic, high-bycatch</w:t>
            </w:r>
          </w:p>
        </w:tc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(DFO,</w:t>
            </w:r>
            <w:r>
              <w:t xml:space="preserve"> </w:t>
            </w:r>
            <w:hyperlink w:anchor="ref-dfo2016">
              <w:r>
                <w:rPr>
                  <w:rStyle w:val="Hyperlink"/>
                </w:rPr>
                <w:t xml:space="preserve">2016</w:t>
              </w:r>
            </w:hyperlink>
            <w:hyperlink w:anchor="ref-dfo2016">
              <w:r>
                <w:rPr>
                  <w:rStyle w:val="Hyperlink"/>
                </w:rPr>
                <w:t xml:space="preserve">b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Fisheries</w:t>
            </w:r>
          </w:p>
        </w:tc>
        <w:tc>
          <w:p>
            <w:pPr>
              <w:pStyle w:val="Compact"/>
              <w:jc w:val="left"/>
            </w:pPr>
            <w:r>
              <w:t xml:space="preserve">Pelagic, low-bycatch</w:t>
            </w:r>
          </w:p>
        </w:tc>
        <w:tc>
          <w:p>
            <w:pPr>
              <w:pStyle w:val="Compact"/>
              <w:jc w:val="left"/>
            </w:pPr>
            <w:r>
              <w:t xml:space="preserve">PLB</w:t>
            </w:r>
          </w:p>
        </w:tc>
        <w:tc>
          <w:p>
            <w:pPr>
              <w:pStyle w:val="Compact"/>
              <w:jc w:val="left"/>
            </w:pPr>
            <w:r>
              <w:t xml:space="preserve">(DFO,</w:t>
            </w:r>
            <w:r>
              <w:t xml:space="preserve"> </w:t>
            </w:r>
            <w:hyperlink w:anchor="ref-dfo2016">
              <w:r>
                <w:rPr>
                  <w:rStyle w:val="Hyperlink"/>
                </w:rPr>
                <w:t xml:space="preserve">2016</w:t>
              </w:r>
            </w:hyperlink>
            <w:hyperlink w:anchor="ref-dfo2016">
              <w:r>
                <w:rPr>
                  <w:rStyle w:val="Hyperlink"/>
                </w:rPr>
                <w:t xml:space="preserve">b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Marine traffic</w:t>
            </w:r>
          </w:p>
        </w:tc>
        <w:tc>
          <w:p>
            <w:pPr>
              <w:pStyle w:val="Compact"/>
              <w:jc w:val="left"/>
            </w:pPr>
            <w:r>
              <w:t xml:space="preserve">Invasive species</w:t>
            </w:r>
          </w:p>
        </w:tc>
        <w:tc>
          <w:p>
            <w:pPr>
              <w:pStyle w:val="Compact"/>
              <w:jc w:val="left"/>
            </w:pPr>
            <w:r>
              <w:t xml:space="preserve">INV</w:t>
            </w:r>
          </w:p>
        </w:tc>
        <w:tc>
          <w:p>
            <w:pPr>
              <w:pStyle w:val="Compact"/>
              <w:jc w:val="left"/>
            </w:pPr>
            <w:r>
              <w:t xml:space="preserve">(Halpern et al.,</w:t>
            </w:r>
            <w:r>
              <w:t xml:space="preserve"> </w:t>
            </w:r>
            <w:hyperlink w:anchor="ref-halpern2015">
              <w:r>
                <w:rPr>
                  <w:rStyle w:val="Hyperlink"/>
                </w:rPr>
                <w:t xml:space="preserve">2015</w:t>
              </w:r>
            </w:hyperlink>
            <w:hyperlink w:anchor="ref-halpern2015">
              <w:r>
                <w:rPr>
                  <w:rStyle w:val="Hyperlink"/>
                </w:rPr>
                <w:t xml:space="preserve">a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Marine traffic</w:t>
            </w:r>
          </w:p>
        </w:tc>
        <w:tc>
          <w:p>
            <w:pPr>
              <w:pStyle w:val="Compact"/>
              <w:jc w:val="left"/>
            </w:pPr>
            <w:r>
              <w:t xml:space="preserve">Marine pollution</w:t>
            </w:r>
          </w:p>
        </w:tc>
        <w:tc>
          <w:p>
            <w:pPr>
              <w:pStyle w:val="Compact"/>
              <w:jc w:val="left"/>
            </w:pPr>
            <w:r>
              <w:t xml:space="preserve">MP</w:t>
            </w:r>
          </w:p>
        </w:tc>
        <w:tc>
          <w:p>
            <w:pPr>
              <w:pStyle w:val="Compact"/>
              <w:jc w:val="left"/>
            </w:pPr>
            <w:r>
              <w:t xml:space="preserve">(Halpern et al.,</w:t>
            </w:r>
            <w:r>
              <w:t xml:space="preserve"> </w:t>
            </w:r>
            <w:hyperlink w:anchor="ref-halpern2015">
              <w:r>
                <w:rPr>
                  <w:rStyle w:val="Hyperlink"/>
                </w:rPr>
                <w:t xml:space="preserve">2015</w:t>
              </w:r>
            </w:hyperlink>
            <w:hyperlink w:anchor="ref-halpern2015">
              <w:r>
                <w:rPr>
                  <w:rStyle w:val="Hyperlink"/>
                </w:rPr>
                <w:t xml:space="preserve">a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Marine traffic</w:t>
            </w:r>
          </w:p>
        </w:tc>
        <w:tc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p>
            <w:pPr>
              <w:pStyle w:val="Compact"/>
              <w:jc w:val="left"/>
            </w:pPr>
            <w:r>
              <w:t xml:space="preserve">SHP</w:t>
            </w:r>
          </w:p>
        </w:tc>
        <w:tc>
          <w:p>
            <w:pPr>
              <w:pStyle w:val="Compact"/>
              <w:jc w:val="left"/>
            </w:pPr>
            <w:r>
              <w:t xml:space="preserve">(Halpern et al.,</w:t>
            </w:r>
            <w:r>
              <w:t xml:space="preserve"> </w:t>
            </w:r>
            <w:hyperlink w:anchor="ref-halpern2015">
              <w:r>
                <w:rPr>
                  <w:rStyle w:val="Hyperlink"/>
                </w:rPr>
                <w:t xml:space="preserve">2015</w:t>
              </w:r>
            </w:hyperlink>
            <w:hyperlink w:anchor="ref-halpern2015">
              <w:r>
                <w:rPr>
                  <w:rStyle w:val="Hyperlink"/>
                </w:rPr>
                <w:t xml:space="preserve">a</w:t>
              </w:r>
            </w:hyperlink>
            <w:r>
              <w:t xml:space="preserve">)</w:t>
            </w:r>
          </w:p>
        </w:tc>
      </w:tr>
    </w:tbl>
    <w:p>
      <w:pPr>
        <w:pStyle w:val="Heading2"/>
      </w:pPr>
      <w:bookmarkStart w:id="21" w:name="climate"/>
      <w:r>
        <w:t xml:space="preserve">Climate</w:t>
      </w:r>
      <w:bookmarkEnd w:id="21"/>
    </w:p>
    <w:p>
      <w:pPr>
        <w:pStyle w:val="Heading3"/>
      </w:pPr>
      <w:bookmarkStart w:id="22" w:name="acidification"/>
      <w:r>
        <w:t xml:space="preserve">Acidification</w:t>
      </w:r>
      <w:bookmarkEnd w:id="22"/>
    </w:p>
    <w:p>
      <w:pPr>
        <w:pStyle w:val="FirstParagraph"/>
      </w:pPr>
      <w:r>
        <w:t xml:space="preserve">Oceans are the largest reservoir and sink of atmospheric carbon dioxide (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). Its uptake</w:t>
      </w:r>
      <w:r>
        <w:t xml:space="preserve"> </w:t>
      </w:r>
      <w:r>
        <w:t xml:space="preserve">increases seawater acidity and the lowers saturation state with respect to calcite</w:t>
      </w:r>
      <w:r>
        <w:t xml:space="preserve"> </w:t>
      </w:r>
      <w:r>
        <w:t xml:space="preserve">(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) and aragonite (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), the two most common</w:t>
      </w:r>
      <w:r>
        <w:t xml:space="preserve"> </w:t>
      </w:r>
      <m:oMath>
        <m:r>
          <m:t>C</m:t>
        </m:r>
        <m:r>
          <m:t>a</m:t>
        </m:r>
        <m:r>
          <m:t>C</m:t>
        </m:r>
        <m:sSub>
          <m:e>
            <m:r>
              <m:t>O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polymorphs</w:t>
      </w:r>
      <w:r>
        <w:t xml:space="preserve"> </w:t>
      </w:r>
      <w:r>
        <w:t xml:space="preserve">constituting the shells and skeleton of many marine organisms</w:t>
      </w:r>
      <w:r>
        <w:t xml:space="preserve"> </w:t>
      </w:r>
      <w:r>
        <w:t xml:space="preserve">(Mucci et al.,</w:t>
      </w:r>
      <w:r>
        <w:t xml:space="preserve"> </w:t>
      </w:r>
      <w:hyperlink w:anchor="ref-mucci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This can have deleterious effects on carbonate-secreting organisms (</w:t>
      </w:r>
      <w:r>
        <w:rPr>
          <w:i/>
        </w:rPr>
        <w:t xml:space="preserve">e.g.</w:t>
      </w:r>
      <w:r>
        <w:t xml:space="preserve"> </w:t>
      </w:r>
      <w:r>
        <w:t xml:space="preserve">mollusks and crustaceans)</w:t>
      </w:r>
      <w:r>
        <w:t xml:space="preserve"> </w:t>
      </w:r>
      <w:r>
        <w:t xml:space="preserve">and certain physiological processes in non-calcifying organisms</w:t>
      </w:r>
      <w:r>
        <w:t xml:space="preserve"> </w:t>
      </w:r>
      <w:r>
        <w:t xml:space="preserve">(Fabry et al.,</w:t>
      </w:r>
      <w:r>
        <w:t xml:space="preserve"> </w:t>
      </w:r>
      <w:hyperlink w:anchor="ref-fabry2008">
        <w:r>
          <w:rPr>
            <w:rStyle w:val="Hyperlink"/>
          </w:rPr>
          <w:t xml:space="preserve">2008</w:t>
        </w:r>
      </w:hyperlink>
      <w:r>
        <w:t xml:space="preserve">; Kroeker et al.,</w:t>
      </w:r>
      <w:r>
        <w:t xml:space="preserve"> </w:t>
      </w:r>
      <w:hyperlink w:anchor="ref-kroeker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decrease below 1, water</w:t>
      </w:r>
      <w:r>
        <w:t xml:space="preserve"> </w:t>
      </w:r>
      <w:r>
        <w:t xml:space="preserve">becomes undersaturated and corrosive to the skeletal minerals of carbonate-secreting</w:t>
      </w:r>
      <w:r>
        <w:t xml:space="preserve"> </w:t>
      </w:r>
      <w:r>
        <w:t xml:space="preserve">organisms. Note that if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m:oMath>
        <m:r>
          <m:t>&lt;</m:t>
        </m:r>
        <m:r>
          <m:t>1</m:t>
        </m:r>
      </m:oMath>
      <w:r>
        <w:t xml:space="preserve">, the waters</w:t>
      </w:r>
      <w:r>
        <w:t xml:space="preserve"> </w:t>
      </w:r>
      <w:r>
        <w:t xml:space="preserve">may still be supersaturated with respect to calcite since it is 50% more soluble</w:t>
      </w:r>
      <w:r>
        <w:t xml:space="preserve"> </w:t>
      </w:r>
      <w:r>
        <w:t xml:space="preserve">than aragonite. However, organisms</w:t>
      </w:r>
      <w:r>
        <w:t xml:space="preserve"> </w:t>
      </w:r>
      <w:r>
        <w:t xml:space="preserve">have wide ranging responses to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saturation state.</w:t>
      </w:r>
      <w:r>
        <w:t xml:space="preserve"> </w:t>
      </w:r>
      <w:r>
        <w:t xml:space="preserve">For example, most corals stop calcifying at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m:oMath>
        <m:r>
          <m:t>&lt;</m:t>
        </m:r>
        <m:r>
          <m:t>2</m:t>
        </m:r>
      </m:oMath>
      <w:r>
        <w:t xml:space="preserve"> </w:t>
      </w:r>
      <w:r>
        <w:t xml:space="preserve">(Bove et al.,</w:t>
      </w:r>
      <w:r>
        <w:t xml:space="preserve"> </w:t>
      </w:r>
      <w:hyperlink w:anchor="ref-bove2019">
        <w:r>
          <w:rPr>
            <w:rStyle w:val="Hyperlink"/>
          </w:rPr>
          <w:t xml:space="preserve">2019</w:t>
        </w:r>
      </w:hyperlink>
      <w:r>
        <w:t xml:space="preserve">; Kleypas et al.,</w:t>
      </w:r>
      <w:r>
        <w:t xml:space="preserve"> </w:t>
      </w:r>
      <w:hyperlink w:anchor="ref-kleypas2006"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, while other organisms</w:t>
      </w:r>
      <w:r>
        <w:t xml:space="preserve"> </w:t>
      </w:r>
      <w:r>
        <w:t xml:space="preserve">may have adapted to precipitate</w:t>
      </w:r>
      <w:r>
        <w:t xml:space="preserve"> </w:t>
      </w:r>
      <m:oMath>
        <m:r>
          <m:t>C</m:t>
        </m:r>
        <m:r>
          <m:t>a</m:t>
        </m:r>
        <m:r>
          <m:t>C</m:t>
        </m:r>
        <m:sSub>
          <m:e>
            <m:r>
              <m:t>O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even when seawater is undersaturated</w:t>
      </w:r>
      <w:r>
        <w:t xml:space="preserve"> </w:t>
      </w:r>
      <w:r>
        <w:t xml:space="preserve">with respect to calcite</w:t>
      </w:r>
      <w:r>
        <w:t xml:space="preserve"> </w:t>
      </w:r>
      <w:r>
        <w:t xml:space="preserve">(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m:oMath>
        <m:r>
          <m:t>&lt;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m:oMath>
        <m:r>
          <m:t>&lt;</m:t>
        </m:r>
        <m:r>
          <m:t>0.65</m:t>
        </m:r>
      </m:oMath>
      <w:r>
        <w:t xml:space="preserve">; e.g. Uthicke et al.,</w:t>
      </w:r>
      <w:r>
        <w:t xml:space="preserve"> </w:t>
      </w:r>
      <w:hyperlink w:anchor="ref-uthicke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We used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saturation state to characterize ocean acidification in the</w:t>
      </w:r>
      <w:r>
        <w:t xml:space="preserve"> </w:t>
      </w:r>
      <w:r>
        <w:t xml:space="preserve">bottom waters of the St. Lawrence. The data were collected […].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,</w:t>
      </w:r>
      <w:r>
        <w:t xml:space="preserve"> </w:t>
      </w:r>
      <w:r>
        <w:t xml:space="preserve">pH, dissolved oxygen (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) and pressure were sampled at 117 stations in the</w:t>
      </w:r>
      <w:r>
        <w:t xml:space="preserve"> </w:t>
      </w:r>
      <w:r>
        <w:t xml:space="preserve">Estuary and Gulf of St. Lawrence in the summer of 2018. The majority of sampling</w:t>
      </w:r>
      <w:r>
        <w:t xml:space="preserve"> </w:t>
      </w:r>
      <w:r>
        <w:t xml:space="preserve">stations were located in the Southern Gulf (</w:t>
      </w:r>
      <m:oMath>
        <m:r>
          <m:t>n</m:t>
        </m:r>
        <m:r>
          <m:t>=</m:t>
        </m:r>
        <m:r>
          <m:t>84</m:t>
        </m:r>
      </m:oMath>
      <w:r>
        <w:t xml:space="preserve">), compared to the Estuary</w:t>
      </w:r>
      <w:r>
        <w:t xml:space="preserve"> </w:t>
      </w:r>
      <w:r>
        <w:t xml:space="preserve">and Northern Gulf (</w:t>
      </w:r>
      <m:oMath>
        <m:r>
          <m:t>n</m:t>
        </m:r>
        <m:r>
          <m:t>=</m:t>
        </m:r>
        <m:r>
          <m:t>33</m:t>
        </m:r>
      </m:oMath>
      <w:r>
        <w:t xml:space="preserve">).</w:t>
      </w:r>
    </w:p>
    <w:p>
      <w:pPr>
        <w:pStyle w:val="BodyText"/>
      </w:pPr>
      <w:r>
        <w:t xml:space="preserve">To account for low sample size in the Northern Gulf, we used the</w:t>
      </w:r>
      <w:r>
        <w:t xml:space="preserve"> </w:t>
      </w:r>
      <w:r>
        <w:t xml:space="preserve">correlation between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, which are linked through the stoichiometry</w:t>
      </w:r>
      <w:r>
        <w:t xml:space="preserve"> </w:t>
      </w:r>
      <w:r>
        <w:t xml:space="preserve">of the respiration reaction in waters that are isolated from the atmosphere</w:t>
      </w:r>
      <w:r>
        <w:t xml:space="preserve"> </w:t>
      </w:r>
      <w:r>
        <w:t xml:space="preserve">(Mucci et al.,</w:t>
      </w:r>
      <w:r>
        <w:t xml:space="preserve"> </w:t>
      </w:r>
      <w:hyperlink w:anchor="ref-mucci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Metabolic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increases in</w:t>
      </w:r>
      <w:r>
        <w:t xml:space="preserve"> </w:t>
      </w:r>
      <w:r>
        <w:t xml:space="preserve">water through biotic processes such microbial respiration of organic matter</w:t>
      </w:r>
      <w:r>
        <w:t xml:space="preserve"> </w:t>
      </w:r>
      <w:r>
        <w:t xml:space="preserve">(Mucci et al.,</w:t>
      </w:r>
      <w:r>
        <w:t xml:space="preserve"> </w:t>
      </w:r>
      <w:hyperlink w:anchor="ref-mucci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In deep waters, variations of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are largely governed by the addition of metabolic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, whereas near the air-sea interface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replenished faster than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can</w:t>
      </w:r>
      <w:r>
        <w:t xml:space="preserve"> </w:t>
      </w:r>
      <w:r>
        <w:t xml:space="preserve">escape</w:t>
      </w:r>
      <w:r>
        <w:t xml:space="preserve"> </w:t>
      </w:r>
      <w:r>
        <w:t xml:space="preserve">(Zeebe and Wolf-Gladrow,</w:t>
      </w:r>
      <w:r>
        <w:t xml:space="preserve"> </w:t>
      </w:r>
      <w:hyperlink w:anchor="ref-zeebe2001">
        <w:r>
          <w:rPr>
            <w:rStyle w:val="Hyperlink"/>
          </w:rPr>
          <w:t xml:space="preserve">2001</w:t>
        </w:r>
      </w:hyperlink>
      <w:r>
        <w:t xml:space="preserve">)</w:t>
      </w:r>
      <w:r>
        <w:t xml:space="preserve">. The impact of respiration on carbonate chemistry is highest in hypoxic</w:t>
      </w:r>
      <w:r>
        <w:t xml:space="preserve"> </w:t>
      </w:r>
      <w:r>
        <w:t xml:space="preserve">regions, where metabolic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accumulates to high concentrations</w:t>
      </w:r>
      <w:r>
        <w:t xml:space="preserve"> </w:t>
      </w:r>
      <w:r>
        <w:t xml:space="preserve">(Mucci et al.,</w:t>
      </w:r>
      <w:r>
        <w:t xml:space="preserve"> </w:t>
      </w:r>
      <w:hyperlink w:anchor="ref-mucci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We explored the correlation between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the data and</w:t>
      </w:r>
      <w:r>
        <w:t xml:space="preserve"> </w:t>
      </w:r>
      <w:r>
        <w:t xml:space="preserve">found no significant correlation at the scale of the whole St. Lawrence (</w:t>
      </w:r>
      <w:r>
        <w:rPr>
          <w:i/>
        </w:rPr>
        <w:t xml:space="preserve">p-value</w:t>
      </w:r>
      <w:r>
        <w:t xml:space="preserve">:</w:t>
      </w:r>
      <w:r>
        <w:t xml:space="preserve"> </w:t>
      </w:r>
      <w:r>
        <w:t xml:space="preserve">0.08;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 0.03). Nevertheless, a correlation</w:t>
      </w:r>
      <w:r>
        <w:t xml:space="preserve"> </w:t>
      </w:r>
      <w:r>
        <w:t xml:space="preserve">between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exists in the Northern St. Lawrence (</w:t>
      </w:r>
      <w:r>
        <w:rPr>
          <w:i/>
        </w:rPr>
        <w:t xml:space="preserve">p-value</w:t>
      </w:r>
      <w:r>
        <w:t xml:space="preserve">:</w:t>
      </w:r>
      <w:r>
        <w:t xml:space="preserve"> </w:t>
      </w:r>
      <w:r>
        <w:t xml:space="preserve">&lt; 0.01;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 0.49), but not in the Southern St. Lawrence (</w:t>
      </w:r>
      <w:r>
        <w:rPr>
          <w:i/>
        </w:rPr>
        <w:t xml:space="preserve">p-value</w:t>
      </w:r>
      <w:r>
        <w:t xml:space="preserve">: 0.85;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 &lt; 0.01). Furthermore, the correlation observed in the north between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especially strong when deep Channels (</w:t>
      </w:r>
      <w:r>
        <w:rPr>
          <w:i/>
        </w:rPr>
        <w:t xml:space="preserve">Deep</w:t>
      </w:r>
      <w:r>
        <w:t xml:space="preserve"> </w:t>
      </w:r>
      <w:r>
        <w:t xml:space="preserve">model:</w:t>
      </w:r>
      <w:r>
        <w:t xml:space="preserve"> </w:t>
      </w:r>
      <w:r>
        <w:rPr>
          <w:i/>
        </w:rPr>
        <w:t xml:space="preserve">p-value</w:t>
      </w:r>
      <w:r>
        <w:t xml:space="preserve">:</w:t>
      </w:r>
      <w:r>
        <w:t xml:space="preserve"> </w:t>
      </w:r>
      <w:r>
        <w:t xml:space="preserve">&lt; 0.01;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: 0.20;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 0.97) are separated from shallower regions</w:t>
      </w:r>
      <w:r>
        <w:t xml:space="preserve"> </w:t>
      </w:r>
      <w:r>
        <w:t xml:space="preserve">(</w:t>
      </w:r>
      <w:r>
        <w:rPr>
          <w:i/>
        </w:rPr>
        <w:t xml:space="preserve">Shallow</w:t>
      </w:r>
      <w:r>
        <w:t xml:space="preserve"> </w:t>
      </w:r>
      <w:r>
        <w:t xml:space="preserve">model:</w:t>
      </w:r>
      <w:r>
        <w:t xml:space="preserve"> </w:t>
      </w:r>
      <w:r>
        <w:rPr>
          <w:i/>
        </w:rPr>
        <w:t xml:space="preserve">p-value</w:t>
      </w:r>
      <w:r>
        <w:t xml:space="preserve">: &lt; 0.01;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: 0.07;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 0.96), with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increasing more steeply with increasing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deep Channels. This stronger</w:t>
      </w:r>
      <w:r>
        <w:t xml:space="preserve"> </w:t>
      </w:r>
      <w:r>
        <w:t xml:space="preserve">correlation is likely caused by the lack of gas exchange with the atmosphere</w:t>
      </w:r>
      <w:r>
        <w:t xml:space="preserve"> </w:t>
      </w:r>
      <w:r>
        <w:t xml:space="preserve">or the surface mixed layer and the importance of metabolic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deep</w:t>
      </w:r>
      <w:r>
        <w:t xml:space="preserve"> </w:t>
      </w:r>
      <w:r>
        <w:t xml:space="preserve">waters, some of which may have mean ages of up to 20 years</w:t>
      </w:r>
      <w:r>
        <w:t xml:space="preserve"> </w:t>
      </w:r>
      <w:r>
        <w:t xml:space="preserve">(Mucci et al.,</w:t>
      </w:r>
      <w:r>
        <w:t xml:space="preserve"> </w:t>
      </w:r>
      <w:hyperlink w:anchor="ref-mucci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In the</w:t>
      </w:r>
      <w:r>
        <w:t xml:space="preserve"> </w:t>
      </w:r>
      <w:r>
        <w:t xml:space="preserve">Northern Gulf, the acidification is following</w:t>
      </w:r>
      <w:r>
        <w:t xml:space="preserve"> </w:t>
      </w:r>
      <w:r>
        <w:t xml:space="preserve">depth and distance from the Cabot Strait along the Laurentian, Anticosti and</w:t>
      </w:r>
      <w:r>
        <w:t xml:space="preserve"> </w:t>
      </w:r>
      <w:r>
        <w:t xml:space="preserve">Esquiman Channels due to the progressive oxygen depletion and metabolic carbon</w:t>
      </w:r>
      <w:r>
        <w:t xml:space="preserve"> </w:t>
      </w:r>
      <w:r>
        <w:t xml:space="preserve">dioxide accumulation</w:t>
      </w:r>
      <w:r>
        <w:t xml:space="preserve"> </w:t>
      </w:r>
      <w:r>
        <w:t xml:space="preserve">(Mucci et al.,</w:t>
      </w:r>
      <w:r>
        <w:t xml:space="preserve"> </w:t>
      </w:r>
      <w:hyperlink w:anchor="ref-mucci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There are likely different dynamics at play</w:t>
      </w:r>
      <w:r>
        <w:t xml:space="preserve"> </w:t>
      </w:r>
      <w:r>
        <w:t xml:space="preserve">in the Southern Gulf, such as the accumulation of metabolic carbon dioxide</w:t>
      </w:r>
      <w:r>
        <w:t xml:space="preserve"> </w:t>
      </w:r>
      <w:r>
        <w:t xml:space="preserve">produced by rapid oxic degradation of organic matter in the sandy and permeable</w:t>
      </w:r>
      <w:r>
        <w:t xml:space="preserve"> </w:t>
      </w:r>
      <w:r>
        <w:t xml:space="preserve">sediments of the Magdalen Shelf [</w:t>
      </w:r>
      <w:r>
        <w:rPr>
          <w:i/>
        </w:rPr>
        <w:t xml:space="preserve">personal communication?</w:t>
      </w:r>
      <w:r>
        <w:t xml:space="preserve">].</w:t>
      </w:r>
      <w:r>
        <w:t xml:space="preserve"> </w:t>
      </w:r>
    </w:p>
    <w:p>
      <w:pPr>
        <w:pStyle w:val="BodyText"/>
      </w:pPr>
      <w:r>
        <w:t xml:space="preserve">We thus divided the analyses between the Southern and Northern St. Lawrence.</w:t>
      </w:r>
      <w:r>
        <w:t xml:space="preserve"> </w:t>
      </w:r>
      <w:r>
        <w:t xml:space="preserve">The St. Lawrence was divided using the 350m isobath on the southern</w:t>
      </w:r>
      <w:r>
        <w:t xml:space="preserve"> </w:t>
      </w:r>
      <w:r>
        <w:t xml:space="preserve">slope of the Laurentian Channel, from the Cabot Strait to the tip of the Gaspé</w:t>
      </w:r>
      <w:r>
        <w:t xml:space="preserve"> </w:t>
      </w:r>
      <w:r>
        <w:t xml:space="preserve">Peninsula.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distribution in the Southern St. Lawrence was modelled using the exponential</w:t>
      </w:r>
      <w:r>
        <w:t xml:space="preserve"> </w:t>
      </w:r>
      <w:r>
        <w:t xml:space="preserve">kriging model.</w:t>
      </w:r>
    </w:p>
    <w:p>
      <w:pPr>
        <w:pStyle w:val="BodyText"/>
      </w:pPr>
      <w:r>
        <w:t xml:space="preserve">We predicted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the Northern St. Lawrence. Whereas</w:t>
      </w:r>
      <w:r>
        <w:t xml:space="preserve"> </w:t>
      </w:r>
      <w:r>
        <w:t xml:space="preserve">there are few published datasets on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in the</w:t>
      </w:r>
      <w:r>
        <w:t xml:space="preserve"> </w:t>
      </w:r>
      <w:r>
        <w:t xml:space="preserve">St. Lawrence, there is a robust time-series on oxygen concentration in the water</w:t>
      </w:r>
      <w:r>
        <w:t xml:space="preserve"> </w:t>
      </w:r>
      <w:r>
        <w:t xml:space="preserve">column from the Department of Fisheries and Oceans’ (DFO) Atlantic Zone</w:t>
      </w:r>
      <w:r>
        <w:t xml:space="preserve"> </w:t>
      </w:r>
      <w:r>
        <w:t xml:space="preserve">Monitoring Program</w:t>
      </w:r>
      <w:r>
        <w:t xml:space="preserve"> </w:t>
      </w:r>
      <w:r>
        <w:t xml:space="preserve">(AZMP; Galbraith et al.,</w:t>
      </w:r>
      <w:r>
        <w:t xml:space="preserve"> </w:t>
      </w:r>
      <w:hyperlink w:anchor="ref-galbraith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We used oxygen concentration data</w:t>
      </w:r>
      <w:r>
        <w:t xml:space="preserve"> </w:t>
      </w:r>
      <w:r>
        <w:t xml:space="preserve">collected between 2013 and 2017</w:t>
      </w:r>
      <w:r>
        <w:t xml:space="preserve"> </w:t>
      </w:r>
      <w:r>
        <w:t xml:space="preserve">(Blais et al.,</w:t>
      </w:r>
      <w:r>
        <w:t xml:space="preserve"> </w:t>
      </w:r>
      <w:hyperlink w:anchor="ref-blais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and interpolated oxygen % saturation using cokriging with depth as a</w:t>
      </w:r>
      <w:r>
        <w:t xml:space="preserve"> </w:t>
      </w:r>
      <w:r>
        <w:t xml:space="preserve">covariable, as done in</w:t>
      </w:r>
      <w:r>
        <w:t xml:space="preserve"> </w:t>
      </w:r>
      <w:r>
        <w:t xml:space="preserve">(Dutil et al.,</w:t>
      </w:r>
      <w:r>
        <w:t xml:space="preserve"> </w:t>
      </w:r>
      <w:hyperlink w:anchor="ref-dutil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Bathymetric data come from</w:t>
      </w:r>
      <w:r>
        <w:t xml:space="preserve"> </w:t>
      </w:r>
      <w:r>
        <w:t xml:space="preserve">Dutil et al. (</w:t>
      </w:r>
      <w:hyperlink w:anchor="ref-dutil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 </w:t>
      </w:r>
      <w:r>
        <w:t xml:space="preserve">and have a 100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resolution. For more details, refer to the hypoxia</w:t>
      </w:r>
      <w:r>
        <w:t xml:space="preserve"> </w:t>
      </w:r>
      <w:r>
        <w:t xml:space="preserve">description. The</w:t>
      </w:r>
      <w:r>
        <w:t xml:space="preserve"> </w:t>
      </w:r>
      <w:r>
        <w:rPr>
          <w:i/>
        </w:rPr>
        <w:t xml:space="preserve">Deep</w:t>
      </w:r>
      <w:r>
        <w:t xml:space="preserve"> </w:t>
      </w:r>
      <w:r>
        <w:t xml:space="preserve">model was used to transform</w:t>
      </w:r>
      <w:r>
        <w:t xml:space="preserve"> </w:t>
      </w:r>
      <m:oMath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values to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in grid cells with depth &gt; 350m, while the</w:t>
      </w:r>
      <w:r>
        <w:t xml:space="preserve"> </w:t>
      </w:r>
      <w:r>
        <w:rPr>
          <w:i/>
        </w:rPr>
        <w:t xml:space="preserve">Shallow</w:t>
      </w:r>
      <w:r>
        <w:t xml:space="preserve"> </w:t>
      </w:r>
      <w:r>
        <w:t xml:space="preserve">model was</w:t>
      </w:r>
      <w:r>
        <w:t xml:space="preserve"> </w:t>
      </w:r>
      <w:r>
        <w:t xml:space="preserve">applied to cells with depth &lt; 350m.</w:t>
      </w:r>
    </w:p>
    <w:p>
      <w:pPr>
        <w:pStyle w:val="BodyText"/>
      </w:pPr>
      <w:r>
        <w:t xml:space="preserve">Based on the wide range of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levels at which organism are negatively</w:t>
      </w:r>
      <w:r>
        <w:t xml:space="preserve"> </w:t>
      </w:r>
      <w:r>
        <w:t xml:space="preserve">affected (see above), we built an index of acidification stress (</w:t>
      </w:r>
      <m:oMath>
        <m:sSub>
          <m:e>
            <m:r>
              <m:t>A</m:t>
            </m:r>
          </m:e>
          <m:sub>
            <m:r>
              <m:t>s</m:t>
            </m:r>
          </m:sub>
        </m:sSub>
      </m:oMath>
      <w:r>
        <w:t xml:space="preserve">)</w:t>
      </w:r>
      <w:r>
        <w:t xml:space="preserve"> </w:t>
      </w:r>
      <w:r>
        <w:t xml:space="preserve">ranging between 0 and 1 that slowly begins increasing as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m:oMath>
        <m:r>
          <m:t>≈</m:t>
        </m:r>
      </m:oMath>
      <w:r>
        <w:t xml:space="preserve"> </w:t>
      </w:r>
      <m:oMath>
        <m:r>
          <m:t>2</m:t>
        </m:r>
      </m:oMath>
      <w:r>
        <w:t xml:space="preserve">, increases more rapidly close to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m:oMath>
        <m:r>
          <m:t>=</m:t>
        </m:r>
        <m:r>
          <m:t>1</m:t>
        </m:r>
      </m:oMath>
      <w:r>
        <w:t xml:space="preserve"> </w:t>
      </w:r>
      <w:r>
        <w:t xml:space="preserve">and reaches its peak at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</m:oMath>
      <w:r>
        <w:t xml:space="preserve"> </w:t>
      </w:r>
      <m:oMath>
        <m:r>
          <m:t>≈</m:t>
        </m:r>
      </m:oMath>
      <w:r>
        <w:t xml:space="preserve"> </w:t>
      </w:r>
      <m:oMath>
        <m:r>
          <m:t>0.5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3</m:t>
              </m:r>
            </m:num>
            <m:den>
              <m:r>
                <m:t>.99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</m:t>
                  </m:r>
                  <m:r>
                    <m:t>*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A</m:t>
                      </m:r>
                    </m:sub>
                  </m:sSub>
                </m:sup>
              </m:sSup>
            </m:den>
          </m:f>
          <m:r>
            <m:t>+</m:t>
          </m:r>
          <m:r>
            <m:t>3</m:t>
          </m:r>
        </m:oMath>
      </m:oMathPara>
    </w:p>
    <w:p>
      <w:pPr>
        <w:pStyle w:val="FirstParagraph"/>
      </w:pPr>
      <w:r>
        <w:t xml:space="preserve">Hence, the higher the acidification stress, the higher the index of</w:t>
      </w:r>
      <w:r>
        <w:t xml:space="preserve"> </w:t>
      </w:r>
      <w:r>
        <w:t xml:space="preserve">acidification becomes.</w:t>
      </w:r>
    </w:p>
    <w:p>
      <w:pPr>
        <w:pStyle w:val="Heading3"/>
      </w:pPr>
      <w:bookmarkStart w:id="23" w:name="hypoxia"/>
      <w:r>
        <w:t xml:space="preserve">Hypoxia</w:t>
      </w:r>
      <w:bookmarkEnd w:id="23"/>
    </w:p>
    <w:p>
      <w:pPr>
        <w:pStyle w:val="FirstParagraph"/>
      </w:pPr>
      <w:r>
        <w:t xml:space="preserve">The data used to characterize hypoxia uses oxygen saturation in % and come from</w:t>
      </w:r>
      <w:r>
        <w:t xml:space="preserve"> </w:t>
      </w:r>
      <w:r>
        <w:t xml:space="preserve">the Department of Fisheries and Oceans’ (DFO) Atlantic Zone Monitoring Program</w:t>
      </w:r>
      <w:r>
        <w:t xml:space="preserve"> </w:t>
      </w:r>
      <w:r>
        <w:t xml:space="preserve">(AZMP; Galbraith et al.,</w:t>
      </w:r>
      <w:r>
        <w:t xml:space="preserve"> </w:t>
      </w:r>
      <w:hyperlink w:anchor="ref-galbraith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surveys in late spring and fall, as well as from annual</w:t>
      </w:r>
      <w:r>
        <w:t xml:space="preserve"> </w:t>
      </w:r>
      <w:r>
        <w:t xml:space="preserve">DFO’s multispecies surveys for the northern Gulf in August and for the Magdalen</w:t>
      </w:r>
      <w:r>
        <w:t xml:space="preserve"> </w:t>
      </w:r>
      <w:r>
        <w:t xml:space="preserve">Shallows in September. We provide a brief summary of data and methods to</w:t>
      </w:r>
      <w:r>
        <w:t xml:space="preserve"> </w:t>
      </w:r>
      <w:r>
        <w:t xml:space="preserve">characterize hypoxia in this document. For more details, refer to</w:t>
      </w:r>
      <w:r>
        <w:t xml:space="preserve"> </w:t>
      </w:r>
      <w:r>
        <w:t xml:space="preserve">Blais et al. (</w:t>
      </w:r>
      <w:hyperlink w:anchor="ref-blais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Oxygen concentration is measured at every station using an oxygen probe</w:t>
      </w:r>
      <w:r>
        <w:t xml:space="preserve"> </w:t>
      </w:r>
      <w:r>
        <w:t xml:space="preserve">(Sea-Bird SBE43) mounted on the CTD. The probe is calibrated against seawater</w:t>
      </w:r>
      <w:r>
        <w:t xml:space="preserve"> </w:t>
      </w:r>
      <w:r>
        <w:t xml:space="preserve">samples that are analyzed by Winkler titration on every cast</w:t>
      </w:r>
      <w:r>
        <w:t xml:space="preserve"> </w:t>
      </w:r>
      <w:r>
        <w:t xml:space="preserve">(see Blais et al.,</w:t>
      </w:r>
      <w:r>
        <w:t xml:space="preserve"> </w:t>
      </w:r>
      <w:hyperlink w:anchor="ref-blais2019"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for calibration procedure)</w:t>
      </w:r>
      <w:r>
        <w:t xml:space="preserve">. The data used is the last depth</w:t>
      </w:r>
      <w:r>
        <w:t xml:space="preserve"> </w:t>
      </w:r>
      <w:r>
        <w:t xml:space="preserve">sampled on the CTD profile, which typically corresponds to ~10m above the</w:t>
      </w:r>
      <w:r>
        <w:t xml:space="preserve"> </w:t>
      </w:r>
      <w:r>
        <w:t xml:space="preserve">bottom. Oxygen concentration (</w:t>
      </w:r>
      <m:oMath>
        <m:r>
          <m:t>μ</m:t>
        </m:r>
        <m:r>
          <m:t>M</m:t>
        </m:r>
      </m:oMath>
      <w:r>
        <w:t xml:space="preserve"> </w:t>
      </w:r>
      <m:oMath>
        <m:sSup>
          <m:e>
            <m:r>
              <m:t>L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 is converted to oxygen</w:t>
      </w:r>
      <w:r>
        <w:t xml:space="preserve"> </w:t>
      </w:r>
      <w:r>
        <w:t xml:space="preserve">saturation taking into account the salinity and temperature at the selected</w:t>
      </w:r>
      <w:r>
        <w:t xml:space="preserve"> </w:t>
      </w:r>
      <w:r>
        <w:t xml:space="preserve">depth.</w:t>
      </w:r>
    </w:p>
    <w:p>
      <w:pPr>
        <w:pStyle w:val="BodyText"/>
      </w:pPr>
      <w:r>
        <w:t xml:space="preserve">We interpolated oxygen saturation using cokriging with depth as a covariable,</w:t>
      </w:r>
      <w:r>
        <w:t xml:space="preserve"> </w:t>
      </w:r>
      <w:r>
        <w:t xml:space="preserve">as done in</w:t>
      </w:r>
      <w:r>
        <w:t xml:space="preserve"> </w:t>
      </w:r>
      <w:r>
        <w:t xml:space="preserve">(Dutil et al.,</w:t>
      </w:r>
      <w:r>
        <w:t xml:space="preserve"> </w:t>
      </w:r>
      <w:hyperlink w:anchor="ref-dutil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. Bathymetric data come from</w:t>
      </w:r>
      <w:r>
        <w:t xml:space="preserve"> </w:t>
      </w:r>
      <w:r>
        <w:t xml:space="preserve">Dutil et al. (</w:t>
      </w:r>
      <w:hyperlink w:anchor="ref-dutil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 </w:t>
      </w:r>
      <w:r>
        <w:t xml:space="preserve">and have a</w:t>
      </w:r>
      <w:r>
        <w:t xml:space="preserve"> </w:t>
      </w:r>
      <w:r>
        <w:t xml:space="preserve">100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resolution. According to</w:t>
      </w:r>
      <w:r>
        <w:t xml:space="preserve"> </w:t>
      </w:r>
      <w:r>
        <w:t xml:space="preserve">Diaz and Rosenberg (</w:t>
      </w:r>
      <w:hyperlink w:anchor="ref-diaz1995">
        <w:r>
          <w:rPr>
            <w:rStyle w:val="Hyperlink"/>
          </w:rPr>
          <w:t xml:space="preserve">1995</w:t>
        </w:r>
      </w:hyperlink>
      <w:r>
        <w:t xml:space="preserve">)</w:t>
      </w:r>
      <w:r>
        <w:t xml:space="preserve">, severe hypoxia can be observed</w:t>
      </w:r>
      <w:r>
        <w:t xml:space="preserve"> </w:t>
      </w:r>
      <w:r>
        <w:t xml:space="preserve">when dissolved oxygen falls below 2</w:t>
      </w:r>
      <w:r>
        <w:t xml:space="preserve"> </w:t>
      </w:r>
      <m:oMath>
        <m:r>
          <m:t>m</m:t>
        </m:r>
        <m:r>
          <m:t>l</m:t>
        </m:r>
      </m:oMath>
      <w:r>
        <w:t xml:space="preserve"> </w:t>
      </w:r>
      <m:oMath>
        <m:sSup>
          <m:e>
            <m:r>
              <m:t>L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, which corresponds to 62.5</w:t>
      </w:r>
      <w:r>
        <w:t xml:space="preserve"> </w:t>
      </w:r>
      <m:oMath>
        <m:r>
          <m:t>μ</m:t>
        </m:r>
        <m:r>
          <m:t>m</m:t>
        </m:r>
        <m:r>
          <m:t>o</m:t>
        </m:r>
        <m:r>
          <m:t>l</m:t>
        </m:r>
      </m:oMath>
      <w:r>
        <w:t xml:space="preserve"> </w:t>
      </w:r>
      <m:oMath>
        <m:sSup>
          <m:e>
            <m:r>
              <m:t>L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and ~20% saturation. This is considered as the level</w:t>
      </w:r>
      <w:r>
        <w:t xml:space="preserve"> </w:t>
      </w:r>
      <w:r>
        <w:t xml:space="preserve">necessary to maintain most animal life. Similarly,</w:t>
      </w:r>
      <w:r>
        <w:t xml:space="preserve"> </w:t>
      </w:r>
      <w:r>
        <w:t xml:space="preserve">Chabot and Claireaux (</w:t>
      </w:r>
      <w:hyperlink w:anchor="ref-chabot20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studied the</w:t>
      </w:r>
      <w:r>
        <w:t xml:space="preserve"> </w:t>
      </w:r>
      <w:r>
        <w:t xml:space="preserve">effects of hypoxia on the energy budget of cod in the St. Lawrence and found</w:t>
      </w:r>
      <w:r>
        <w:t xml:space="preserve"> </w:t>
      </w:r>
      <w:r>
        <w:t xml:space="preserve">that behavioural effects began manifesting below 70% oxygen saturation and that</w:t>
      </w:r>
      <w:r>
        <w:t xml:space="preserve"> </w:t>
      </w:r>
      <w:r>
        <w:t xml:space="preserve">survival becomes jeopardised below ~20% saturation. We used these observations</w:t>
      </w:r>
      <w:r>
        <w:t xml:space="preserve"> </w:t>
      </w:r>
      <w:r>
        <w:t xml:space="preserve">to create an index of hypoxia using an inverted logistic curve that slowly</w:t>
      </w:r>
      <w:r>
        <w:t xml:space="preserve"> </w:t>
      </w:r>
      <w:r>
        <w:t xml:space="preserve">increases below 70% oxygen saturation, increases acutely as it approaches the</w:t>
      </w:r>
      <w:r>
        <w:t xml:space="preserve"> </w:t>
      </w:r>
      <w:r>
        <w:t xml:space="preserve">20% oxygen saturation threshold and reaches its peak intensity between 20 and</w:t>
      </w:r>
      <w:r>
        <w:t xml:space="preserve"> </w:t>
      </w:r>
      <w:r>
        <w:t xml:space="preserve">30% oxygen saturation: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1</m:t>
              </m:r>
            </m:num>
            <m:den>
              <m:r>
                <m:t>.99</m:t>
              </m:r>
              <m:r>
                <m:t>+</m:t>
              </m:r>
              <m:r>
                <m:t>200</m:t>
              </m:r>
              <m:r>
                <m:t>*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0.15</m:t>
                  </m:r>
                  <m:r>
                    <m:t>*</m:t>
                  </m:r>
                  <m:sSub>
                    <m:e>
                      <m:r>
                        <m:t>O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den>
          </m:f>
          <m: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Hence, the higher the hypoxic stress, the higher the index of hypoxia becomes.</w:t>
      </w:r>
    </w:p>
    <w:p>
      <w:pPr>
        <w:pStyle w:val="Heading3"/>
      </w:pPr>
      <w:bookmarkStart w:id="24" w:name="bottom-temperature-anomalies"/>
      <w:r>
        <w:t xml:space="preserve">Bottom temperature anomalies</w:t>
      </w:r>
      <w:bookmarkEnd w:id="24"/>
    </w:p>
    <w:p>
      <w:pPr>
        <w:pStyle w:val="FirstParagraph"/>
      </w:pPr>
      <w:r>
        <w:t xml:space="preserve">The data used to characterize bottom temperature anomalies come from the</w:t>
      </w:r>
      <w:r>
        <w:t xml:space="preserve"> </w:t>
      </w:r>
      <w:r>
        <w:t xml:space="preserve">Department of Fisheries and Oceans’ (DFO) Atlantic Zone Monitoring Program</w:t>
      </w:r>
      <w:r>
        <w:t xml:space="preserve"> </w:t>
      </w:r>
      <w:r>
        <w:t xml:space="preserve">(AZMP; Galbraith et al.,</w:t>
      </w:r>
      <w:r>
        <w:t xml:space="preserve"> </w:t>
      </w:r>
      <w:hyperlink w:anchor="ref-galbraith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We provide a brief summary of data and methods to</w:t>
      </w:r>
      <w:r>
        <w:t xml:space="preserve"> </w:t>
      </w:r>
      <w:r>
        <w:t xml:space="preserve">characterize the bottom temperature climatology and anomalies in this document.</w:t>
      </w:r>
      <w:r>
        <w:t xml:space="preserve"> </w:t>
      </w:r>
      <w:r>
        <w:t xml:space="preserve">For more details, refer to</w:t>
      </w:r>
      <w:r>
        <w:t xml:space="preserve"> </w:t>
      </w:r>
      <w:r>
        <w:t xml:space="preserve">Galbraith et al. (</w:t>
      </w:r>
      <w:hyperlink w:anchor="ref-galbraith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Bottom temperatures are interpolated in the Gulf using</w:t>
      </w:r>
      <w:r>
        <w:t xml:space="preserve"> </w:t>
      </w:r>
      <w:r>
        <w:t xml:space="preserve">conductivity-temperature-depth (CTD) sampling performed annually through DFO’s</w:t>
      </w:r>
      <w:r>
        <w:t xml:space="preserve"> </w:t>
      </w:r>
      <w:r>
        <w:t xml:space="preserve">multispecies surveys for the northern Gulf in August and for the Magdalen</w:t>
      </w:r>
      <w:r>
        <w:t xml:space="preserve"> </w:t>
      </w:r>
      <w:r>
        <w:t xml:space="preserve">Shallows in September. Using this sampling survey, temperatures are horizontally</w:t>
      </w:r>
      <w:r>
        <w:t xml:space="preserve"> </w:t>
      </w:r>
      <w:r>
        <w:t xml:space="preserve">interpolated at each 1 m depth layer on a 2 km resolution grid. Bottom</w:t>
      </w:r>
      <w:r>
        <w:t xml:space="preserve"> </w:t>
      </w:r>
      <w:r>
        <w:t xml:space="preserve">temperatures are then extracted by using a bathymetry layer from the Canadian</w:t>
      </w:r>
      <w:r>
        <w:t xml:space="preserve"> </w:t>
      </w:r>
      <w:r>
        <w:t xml:space="preserve">Hydrographic Survey</w:t>
      </w:r>
      <w:r>
        <w:t xml:space="preserve"> </w:t>
      </w:r>
      <w:r>
        <w:t xml:space="preserve">(Dutil et al.,</w:t>
      </w:r>
      <w:r>
        <w:t xml:space="preserve"> </w:t>
      </w:r>
      <w:hyperlink w:anchor="ref-dutil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selecting the interpolated temperature</w:t>
      </w:r>
      <w:r>
        <w:t xml:space="preserve"> </w:t>
      </w:r>
      <w:r>
        <w:t xml:space="preserve">from the layer corresponding to the bottom depth at each grid point.</w:t>
      </w:r>
    </w:p>
    <w:p>
      <w:pPr>
        <w:pStyle w:val="BodyText"/>
      </w:pPr>
      <w:r>
        <w:t xml:space="preserve">We used temperature anomalies,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deviations from long-term normal</w:t>
      </w:r>
      <w:r>
        <w:t xml:space="preserve"> </w:t>
      </w:r>
      <w:r>
        <w:t xml:space="preserve">conditions, to measure an annual index of stress associated with extreme</w:t>
      </w:r>
      <w:r>
        <w:t xml:space="preserve"> </w:t>
      </w:r>
      <w:r>
        <w:t xml:space="preserve">temperatures between 2013 and 2017. Temperature anomalies were calculated using</w:t>
      </w:r>
      <w:r>
        <w:t xml:space="preserve"> </w:t>
      </w:r>
      <w:r>
        <w:t xml:space="preserve">the difference between grid cell values with 1981-2010 climatological averages.</w:t>
      </w:r>
      <w:r>
        <w:t xml:space="preserve"> </w:t>
      </w:r>
      <w:r>
        <w:t xml:space="preserve">Anomaly time series were normalized by their standard deviation (SD) to allow</w:t>
      </w:r>
      <w:r>
        <w:t xml:space="preserve"> </w:t>
      </w:r>
      <w:r>
        <w:t xml:space="preserve">comparison between areas of the St. Lawrence with different temperature ranges.</w:t>
      </w:r>
      <w:r>
        <w:t xml:space="preserve"> </w:t>
      </w:r>
      <w:r>
        <w:t xml:space="preserve">For example, temperatures observed in deep channels are less variable than in</w:t>
      </w:r>
      <w:r>
        <w:t xml:space="preserve"> </w:t>
      </w:r>
      <w:r>
        <w:t xml:space="preserve">shallower regions of the St. Lawrence. Hence, if anomalies were expressed in</w:t>
      </w:r>
      <w:r>
        <w:t xml:space="preserve"> </w:t>
      </w:r>
      <w:r>
        <w:t xml:space="preserve">degrees Celsius, it would underestimate the relative importance of anomalies</w:t>
      </w:r>
      <w:r>
        <w:t xml:space="preserve"> </w:t>
      </w:r>
      <w:r>
        <w:t xml:space="preserve">in deep channels when compared to shallower regions. Grid cells whose monthly</w:t>
      </w:r>
      <w:r>
        <w:t xml:space="preserve"> </w:t>
      </w:r>
      <w:r>
        <w:t xml:space="preserve">value exceeded ±0.5 standard deviation (SD) from the long-term average were</w:t>
      </w:r>
      <w:r>
        <w:t xml:space="preserve"> </w:t>
      </w:r>
      <w:r>
        <w:t xml:space="preserve">considered as anomalous</w:t>
      </w:r>
      <w:r>
        <w:t xml:space="preserve"> </w:t>
      </w:r>
      <w:r>
        <w:t xml:space="preserve">(Galbraith et al.,</w:t>
      </w:r>
      <w:r>
        <w:t xml:space="preserve"> </w:t>
      </w:r>
      <w:hyperlink w:anchor="ref-galbraith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Outliers in the data were defined as</w:t>
      </w:r>
      <w:r>
        <w:t xml:space="preserve"> </w:t>
      </w:r>
      <w:r>
        <w:t xml:space="preserve">those that fell beyond the interquartile range * 3, identified as extreme</w:t>
      </w:r>
      <w:r>
        <w:t xml:space="preserve"> </w:t>
      </w:r>
      <w:r>
        <w:t xml:space="preserve">outliers by</w:t>
      </w:r>
      <w:r>
        <w:t xml:space="preserve"> </w:t>
      </w:r>
      <w:r>
        <w:t xml:space="preserve">Tukey (</w:t>
      </w:r>
      <w:hyperlink w:anchor="ref-tukey1977">
        <w:r>
          <w:rPr>
            <w:rStyle w:val="Hyperlink"/>
          </w:rPr>
          <w:t xml:space="preserve">1977</w:t>
        </w:r>
      </w:hyperlink>
      <w:r>
        <w:t xml:space="preserve">)</w:t>
      </w:r>
      <w:r>
        <w:t xml:space="preserve">. Outlier values were capped to correspond to the 5th and</w:t>
      </w:r>
      <w:r>
        <w:t xml:space="preserve"> </w:t>
      </w:r>
      <w:r>
        <w:t xml:space="preserve">95th percentiles. Anomalies were divided into positive and negative anomalies</w:t>
      </w:r>
      <w:r>
        <w:t xml:space="preserve"> </w:t>
      </w:r>
      <w:r>
        <w:t xml:space="preserve">and the absolute value of anomalies were used as an indicator of the intensity</w:t>
      </w:r>
      <w:r>
        <w:t xml:space="preserve"> </w:t>
      </w:r>
      <w:r>
        <w:t xml:space="preserve">of bottom temperature anomalies. The mean anomaly intensity between 2013 and</w:t>
      </w:r>
      <w:r>
        <w:t xml:space="preserve"> </w:t>
      </w:r>
      <w:r>
        <w:t xml:space="preserve">2017 for each grid cell was used to generate the final index of bottom</w:t>
      </w:r>
      <w:r>
        <w:t xml:space="preserve"> </w:t>
      </w:r>
      <w:r>
        <w:t xml:space="preserve">temperature anomalies.</w:t>
      </w:r>
    </w:p>
    <w:p>
      <w:pPr>
        <w:pStyle w:val="Heading3"/>
      </w:pPr>
      <w:bookmarkStart w:id="25" w:name="surface-temperature-anomalies"/>
      <w:r>
        <w:t xml:space="preserve">Surface temperature anomalies</w:t>
      </w:r>
      <w:bookmarkEnd w:id="25"/>
    </w:p>
    <w:p>
      <w:pPr>
        <w:pStyle w:val="FirstParagraph"/>
      </w:pPr>
      <w:r>
        <w:t xml:space="preserve">The data used to characterize surface temperature anomalies come from the</w:t>
      </w:r>
      <w:r>
        <w:t xml:space="preserve"> </w:t>
      </w:r>
      <w:r>
        <w:t xml:space="preserve">Department of Fisheries and Oceans’ (DFO) Atlantic Zone Monitoring Program</w:t>
      </w:r>
      <w:r>
        <w:t xml:space="preserve"> </w:t>
      </w:r>
      <w:r>
        <w:t xml:space="preserve">(AZMP; Galbraith et al.,</w:t>
      </w:r>
      <w:r>
        <w:t xml:space="preserve"> </w:t>
      </w:r>
      <w:hyperlink w:anchor="ref-galbraith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We provide a brief summary of data and methods to</w:t>
      </w:r>
      <w:r>
        <w:t xml:space="preserve"> </w:t>
      </w:r>
      <w:r>
        <w:t xml:space="preserve">characterize the surface temperature climatology and anomalies in this document.</w:t>
      </w:r>
      <w:r>
        <w:t xml:space="preserve"> </w:t>
      </w:r>
      <w:r>
        <w:t xml:space="preserve">For more details, refer to</w:t>
      </w:r>
      <w:r>
        <w:t xml:space="preserve"> </w:t>
      </w:r>
      <w:r>
        <w:t xml:space="preserve">Galbraith et al. (</w:t>
      </w:r>
      <w:hyperlink w:anchor="ref-galbraith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The surface layer is characterized using sea surface temperature (SST) monthly</w:t>
      </w:r>
      <w:r>
        <w:t xml:space="preserve"> </w:t>
      </w:r>
      <w:r>
        <w:t xml:space="preserve">composites from Advanced Very High Resolution Radiometer (AVHRR) satellite</w:t>
      </w:r>
      <w:r>
        <w:t xml:space="preserve"> </w:t>
      </w:r>
      <w:r>
        <w:t xml:space="preserve">images obtained from the National Oceanic and Atmospheric Administration (NOAA)</w:t>
      </w:r>
      <w:r>
        <w:t xml:space="preserve"> </w:t>
      </w:r>
      <w:r>
        <w:t xml:space="preserve">and European Organisation for the Exploitation of Meteorological Satellites</w:t>
      </w:r>
      <w:r>
        <w:t xml:space="preserve"> </w:t>
      </w:r>
      <w:r>
        <w:t xml:space="preserve">(EUMETSAT). Images used are from DFO’s Maurice Lamontagne Institute at a 1 km</w:t>
      </w:r>
      <w:r>
        <w:t xml:space="preserve"> </w:t>
      </w:r>
      <w:r>
        <w:t xml:space="preserve">resolution from 1985-2013 and from DFO’s Bedford Institute of Oceanography (BIO)</w:t>
      </w:r>
      <w:r>
        <w:t xml:space="preserve"> </w:t>
      </w:r>
      <w:r>
        <w:t xml:space="preserve">Operational Remote Sensing group at a 1.5 km resolution since 2014. Monthly</w:t>
      </w:r>
      <w:r>
        <w:t xml:space="preserve"> </w:t>
      </w:r>
      <w:r>
        <w:t xml:space="preserve">anomalies were constructed as the difference between monthly averages and the</w:t>
      </w:r>
      <w:r>
        <w:t xml:space="preserve"> </w:t>
      </w:r>
      <w:r>
        <w:t xml:space="preserve">1985-2010 climatological mean for each month.</w:t>
      </w:r>
    </w:p>
    <w:p>
      <w:pPr>
        <w:pStyle w:val="BodyText"/>
      </w:pPr>
      <w:r>
        <w:t xml:space="preserve">Surface temperature anomalies were characterized following the same method used</w:t>
      </w:r>
      <w:r>
        <w:t xml:space="preserve"> </w:t>
      </w:r>
      <w:r>
        <w:t xml:space="preserve">for bottom temperature anomalies. Only the months of May to November were</w:t>
      </w:r>
      <w:r>
        <w:t xml:space="preserve"> </w:t>
      </w:r>
      <w:r>
        <w:t xml:space="preserve">included to avoid biases associated with the presence of ice cover. Monthly</w:t>
      </w:r>
      <w:r>
        <w:t xml:space="preserve"> </w:t>
      </w:r>
      <w:r>
        <w:t xml:space="preserve">anomalies from May to November values were summed to obtain an indicator of</w:t>
      </w:r>
      <w:r>
        <w:t xml:space="preserve"> </w:t>
      </w:r>
      <w:r>
        <w:t xml:space="preserve">annual surface temperature anomaly intensity in each grid cell. The mean</w:t>
      </w:r>
      <w:r>
        <w:t xml:space="preserve"> </w:t>
      </w:r>
      <w:r>
        <w:t xml:space="preserve">anomaly intensity between 2013 and 2017 for each grid cell was used to generate</w:t>
      </w:r>
      <w:r>
        <w:t xml:space="preserve"> </w:t>
      </w:r>
      <w:r>
        <w:t xml:space="preserve">the final index of surface temperature anomalies.</w:t>
      </w:r>
    </w:p>
    <w:p>
      <w:pPr>
        <w:pStyle w:val="Heading3"/>
      </w:pPr>
      <w:bookmarkStart w:id="26" w:name="sea-level-rise"/>
      <w:r>
        <w:t xml:space="preserve">Sea level rise</w:t>
      </w:r>
      <w:bookmarkEnd w:id="26"/>
    </w:p>
    <w:p>
      <w:pPr>
        <w:pStyle w:val="FirstParagraph"/>
      </w:pPr>
      <w:r>
        <w:t xml:space="preserve">The data used to characterize sea level rise risk comes from the global</w:t>
      </w:r>
      <w:r>
        <w:t xml:space="preserve"> </w:t>
      </w:r>
      <w:r>
        <w:t xml:space="preserve">cumulative impacts assessment on habitats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a">
        <w:r>
          <w:rPr>
            <w:rStyle w:val="Hyperlink"/>
          </w:rPr>
          <w:t xml:space="preserve">2015</w:t>
        </w:r>
      </w:hyperlink>
      <w:hyperlink w:anchor="ref-halpern2015a">
        <w:r>
          <w:rPr>
            <w:rStyle w:val="Hyperlink"/>
          </w:rPr>
          <w:t xml:space="preserve">b</w:t>
        </w:r>
      </w:hyperlink>
      <w:r>
        <w:t xml:space="preserve">,</w:t>
      </w:r>
      <w:r>
        <w:t xml:space="preserve"> 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available on the NCEAS online data repository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 We provide a</w:t>
      </w:r>
      <w:r>
        <w:t xml:space="preserve"> </w:t>
      </w:r>
      <w:r>
        <w:t xml:space="preserve">brief summary of data and methods in this document. For more details, refer to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Sea level rise was characterized by</w:t>
      </w:r>
      <w:r>
        <w:t xml:space="preserve"> </w:t>
      </w:r>
      <w:r>
        <w:t xml:space="preserve">Nicholls and Cazenave (</w:t>
      </w:r>
      <w:hyperlink w:anchor="ref-nicholls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 </w:t>
      </w:r>
      <w:r>
        <w:t xml:space="preserve">using NASA’s satellite</w:t>
      </w:r>
      <w:r>
        <w:t xml:space="preserve"> </w:t>
      </w:r>
      <w:r>
        <w:t xml:space="preserve">altimetry data (Topex/Poseidon, Jason-1&amp;2, GFO, ERS-1&amp;2, and Envisat</w:t>
      </w:r>
      <w:r>
        <w:t xml:space="preserve"> </w:t>
      </w:r>
      <w:r>
        <w:t xml:space="preserve">missions) and available at</w:t>
      </w:r>
      <w:r>
        <w:t xml:space="preserve"> </w:t>
      </w:r>
      <w:hyperlink r:id="rId27">
        <w:r>
          <w:rPr>
            <w:rStyle w:val="Hyperlink"/>
          </w:rPr>
          <w:t xml:space="preserve">http://www.aviso.altimetry.fr/en/data/products/ocean-indicatorsproducts/mean-sea-level/products-images.html</w:t>
        </w:r>
      </w:hyperlink>
    </w:p>
    <w:p>
      <w:pPr>
        <w:pStyle w:val="BodyText"/>
      </w:pPr>
      <w:r>
        <w:t xml:space="preserve">The rate of sea level rise (</w:t>
      </w:r>
      <m:oMath>
        <m:r>
          <m:t>m</m:t>
        </m:r>
        <m:r>
          <m:t>m</m:t>
        </m:r>
        <m:r>
          <m:t>/</m:t>
        </m:r>
        <m:r>
          <m:t>y</m:t>
        </m:r>
        <m:r>
          <m:t>e</m:t>
        </m:r>
        <m:r>
          <m:t>a</m:t>
        </m:r>
        <m:r>
          <m:t>r</m:t>
        </m:r>
      </m:oMath>
      <w:r>
        <w:t xml:space="preserve">) was measured between 1992 and 2012 and</w:t>
      </w:r>
      <w:r>
        <w:t xml:space="preserve"> </w:t>
      </w:r>
      <w:r>
        <w:t xml:space="preserve">transformed as a net change value (</w:t>
      </w:r>
      <m:oMath>
        <m:r>
          <m:t>m</m:t>
        </m:r>
        <m:r>
          <m:t>m</m:t>
        </m:r>
      </m:oMath>
      <w:r>
        <w:t xml:space="preserve">) by multiplying by the number of years</w:t>
      </w:r>
      <w:r>
        <w:t xml:space="preserve"> </w:t>
      </w:r>
      <w:r>
        <w:t xml:space="preserve">considered. Only positive values were selected under the assumption that</w:t>
      </w:r>
      <w:r>
        <w:t xml:space="preserve"> </w:t>
      </w:r>
      <w:r>
        <w:t xml:space="preserve">only positive sea level rise is likely to cause environmental stress.</w:t>
      </w:r>
    </w:p>
    <w:p>
      <w:pPr>
        <w:pStyle w:val="BodyText"/>
      </w:pPr>
      <w:r>
        <w:t xml:space="preserve">For the St. Lawrence, we overlaid the raw data layers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with our</w:t>
      </w:r>
      <w:r>
        <w:t xml:space="preserve"> </w:t>
      </w:r>
      <w:r>
        <w:t xml:space="preserve">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grid cell using weighted area average.</w:t>
      </w:r>
    </w:p>
    <w:p>
      <w:pPr>
        <w:pStyle w:val="Heading2"/>
      </w:pPr>
      <w:bookmarkStart w:id="28" w:name="coastal"/>
      <w:r>
        <w:t xml:space="preserve">Coastal</w:t>
      </w:r>
      <w:bookmarkEnd w:id="28"/>
    </w:p>
    <w:p>
      <w:pPr>
        <w:pStyle w:val="Heading3"/>
      </w:pPr>
      <w:bookmarkStart w:id="29" w:name="aquaculture"/>
      <w:r>
        <w:t xml:space="preserve">Aquaculture</w:t>
      </w:r>
      <w:bookmarkEnd w:id="29"/>
    </w:p>
    <w:p>
      <w:pPr>
        <w:pStyle w:val="FirstParagraph"/>
      </w:pPr>
      <w:r>
        <w:t xml:space="preserve">Aquaculture data comes from a variety of sources in the St. Lawrence because</w:t>
      </w:r>
      <w:r>
        <w:t xml:space="preserve"> </w:t>
      </w:r>
      <w:r>
        <w:t xml:space="preserve">aquaculture sites are mostly managed at the provincial level. We therefore had</w:t>
      </w:r>
      <w:r>
        <w:t xml:space="preserve"> </w:t>
      </w:r>
      <w:r>
        <w:t xml:space="preserve">to gather the data on aquaculture sites from the 5 provinces dividing the</w:t>
      </w:r>
      <w:r>
        <w:t xml:space="preserve"> </w:t>
      </w:r>
      <w:r>
        <w:t xml:space="preserve">St. Lawrence</w:t>
      </w:r>
      <w:r>
        <w:t xml:space="preserve"> </w:t>
      </w:r>
      <w:r>
        <w:t xml:space="preserve">(AAF,</w:t>
      </w:r>
      <w:r>
        <w:t xml:space="preserve"> </w:t>
      </w:r>
      <w:hyperlink w:anchor="ref-aaf2016">
        <w:r>
          <w:rPr>
            <w:rStyle w:val="Hyperlink"/>
          </w:rPr>
          <w:t xml:space="preserve">2016</w:t>
        </w:r>
      </w:hyperlink>
      <w:r>
        <w:t xml:space="preserve">; DFO,</w:t>
      </w:r>
      <w:r>
        <w:t xml:space="preserve"> </w:t>
      </w:r>
      <w:hyperlink w:anchor="ref-dfo2016a">
        <w:r>
          <w:rPr>
            <w:rStyle w:val="Hyperlink"/>
          </w:rPr>
          <w:t xml:space="preserve">2016</w:t>
        </w:r>
      </w:hyperlink>
      <w:hyperlink w:anchor="ref-dfo2016a">
        <w:r>
          <w:rPr>
            <w:rStyle w:val="Hyperlink"/>
          </w:rPr>
          <w:t xml:space="preserve">a</w:t>
        </w:r>
      </w:hyperlink>
      <w:r>
        <w:t xml:space="preserve">; FA,</w:t>
      </w:r>
      <w:r>
        <w:t xml:space="preserve"> </w:t>
      </w:r>
      <w:hyperlink w:anchor="ref-fa2016">
        <w:r>
          <w:rPr>
            <w:rStyle w:val="Hyperlink"/>
          </w:rPr>
          <w:t xml:space="preserve">2016</w:t>
        </w:r>
      </w:hyperlink>
      <w:r>
        <w:t xml:space="preserve">; FFA,</w:t>
      </w:r>
      <w:r>
        <w:t xml:space="preserve"> </w:t>
      </w:r>
      <w:hyperlink w:anchor="ref-ffa2016">
        <w:r>
          <w:rPr>
            <w:rStyle w:val="Hyperlink"/>
          </w:rPr>
          <w:t xml:space="preserve">2016</w:t>
        </w:r>
      </w:hyperlink>
      <w:r>
        <w:t xml:space="preserve">; MAPAQ,</w:t>
      </w:r>
      <w:r>
        <w:t xml:space="preserve"> </w:t>
      </w:r>
      <w:hyperlink w:anchor="ref-mapaq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Invertebrates aquaculture is especially important in the southern and western</w:t>
      </w:r>
      <w:r>
        <w:t xml:space="preserve"> </w:t>
      </w:r>
      <w:r>
        <w:t xml:space="preserve">Gulf. Fish and algae aquaculture, on the other hand, remains marginal.</w:t>
      </w:r>
      <w:r>
        <w:t xml:space="preserve"> </w:t>
      </w:r>
      <w:r>
        <w:t xml:space="preserve">Considering this, we only considered invertebrates aquaculture for the</w:t>
      </w:r>
      <w:r>
        <w:t xml:space="preserve"> </w:t>
      </w:r>
      <w:r>
        <w:t xml:space="preserve">aquaculture driver layer. However, if fish or algae farming were to become more</w:t>
      </w:r>
      <w:r>
        <w:t xml:space="preserve"> </w:t>
      </w:r>
      <w:r>
        <w:t xml:space="preserve">important, these driver should be incorporated in future analyses as individual</w:t>
      </w:r>
      <w:r>
        <w:t xml:space="preserve"> </w:t>
      </w:r>
      <w:r>
        <w:t xml:space="preserve">layers, as impacts vary between types of aquaculture.</w:t>
      </w:r>
    </w:p>
    <w:p>
      <w:pPr>
        <w:pStyle w:val="BodyText"/>
      </w:pPr>
      <w:r>
        <w:t xml:space="preserve">Aquaculture activities are highly localized and potential effects do not or</w:t>
      </w:r>
      <w:r>
        <w:t xml:space="preserve"> </w:t>
      </w:r>
      <w:r>
        <w:t xml:space="preserve">rarely extend beyond the location of the farms. We therefore only considered</w:t>
      </w:r>
      <w:r>
        <w:t xml:space="preserve"> </w:t>
      </w:r>
      <w:r>
        <w:t xml:space="preserve">the actual location of sites to characterize the distribution of this driver.</w:t>
      </w:r>
      <w:r>
        <w:t xml:space="preserve"> </w:t>
      </w:r>
      <w:r>
        <w:t xml:space="preserve">We were unable to characterize site production in terms of biomass farmed, which</w:t>
      </w:r>
      <w:r>
        <w:t xml:space="preserve"> </w:t>
      </w:r>
      <w:r>
        <w:t xml:space="preserve">could provide an indication of the intensity of aquaculture activities. As such,</w:t>
      </w:r>
      <w:r>
        <w:t xml:space="preserve"> </w:t>
      </w:r>
      <w:r>
        <w:t xml:space="preserve">we considered aquaculture as binary presence-absence data in our analyses.</w:t>
      </w:r>
    </w:p>
    <w:p>
      <w:pPr>
        <w:pStyle w:val="Heading3"/>
      </w:pPr>
      <w:bookmarkStart w:id="30" w:name="coastal-development"/>
      <w:r>
        <w:t xml:space="preserve">Coastal development</w:t>
      </w:r>
      <w:bookmarkEnd w:id="30"/>
    </w:p>
    <w:p>
      <w:pPr>
        <w:pStyle w:val="FirstParagraph"/>
      </w:pPr>
      <w:r>
        <w:t xml:space="preserve">We used lights at night as a proxy of coastal infrastructure development, as</w:t>
      </w:r>
      <w:r>
        <w:t xml:space="preserve"> </w:t>
      </w:r>
      <w:r>
        <w:t xml:space="preserve">terrestrial stable lights at night represent light from human settlements and</w:t>
      </w:r>
      <w:r>
        <w:t xml:space="preserve"> </w:t>
      </w:r>
      <w:r>
        <w:t xml:space="preserve">industrial sites with electricity.</w:t>
      </w:r>
    </w:p>
    <w:p>
      <w:pPr>
        <w:pStyle w:val="BodyText"/>
      </w:pPr>
      <w:r>
        <w:t xml:space="preserve">The data comes from the Nighttime Lights Time Series. Nighttime light products</w:t>
      </w:r>
      <w:r>
        <w:t xml:space="preserve"> </w:t>
      </w:r>
      <w:r>
        <w:t xml:space="preserve">are compiled by the Earth Observation Group at the National Oceanic and</w:t>
      </w:r>
      <w:r>
        <w:t xml:space="preserve"> </w:t>
      </w:r>
      <w:r>
        <w:t xml:space="preserve">Atmospheric Administration’s (NOAA) National Centers for Environmental</w:t>
      </w:r>
      <w:r>
        <w:t xml:space="preserve"> </w:t>
      </w:r>
      <w:r>
        <w:t xml:space="preserve">Information (NCEI). They use glogally available nighttime data obtained from</w:t>
      </w:r>
      <w:r>
        <w:t xml:space="preserve"> </w:t>
      </w:r>
      <w:r>
        <w:t xml:space="preserve">the Visible Infrared Imaging Radiometer Suite (VIIRS) Day/Night Band (DNB) of</w:t>
      </w:r>
      <w:r>
        <w:t xml:space="preserve"> </w:t>
      </w:r>
      <w:r>
        <w:t xml:space="preserve">the Defense Meteorological Satellite Program (DMSP) to characterize global</w:t>
      </w:r>
      <w:r>
        <w:t xml:space="preserve"> </w:t>
      </w:r>
      <w:r>
        <w:t xml:space="preserve">average radiance (</w:t>
      </w:r>
      <m:oMath>
        <m:r>
          <m:t>n</m:t>
        </m:r>
        <m:r>
          <m:t>a</m:t>
        </m:r>
        <m:r>
          <m:t>n</m:t>
        </m:r>
        <m:r>
          <m:t>o</m:t>
        </m:r>
        <m:r>
          <m:t>W</m:t>
        </m:r>
        <m:r>
          <m:t>a</m:t>
        </m:r>
        <m:r>
          <m:t>t</m:t>
        </m:r>
        <m:r>
          <m:t>t</m:t>
        </m:r>
        <m:r>
          <m:t>s</m:t>
        </m:r>
      </m:oMath>
      <w:r>
        <w:t xml:space="preserve"> </w:t>
      </w:r>
      <m:oMath>
        <m:r>
          <m:t>c</m:t>
        </m:r>
        <m:sSup>
          <m:e>
            <m:r>
              <m:t>m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 </w:t>
      </w:r>
      <m:oMath>
        <m:r>
          <m:t>s</m:t>
        </m:r>
        <m:sSup>
          <m:e>
            <m:r>
              <m:t>r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 composite images at a</w:t>
      </w:r>
      <w:r>
        <w:t xml:space="preserve"> </w:t>
      </w:r>
      <w:r>
        <w:t xml:space="preserve">15 arc-second (~200 m) resolution.</w:t>
      </w:r>
    </w:p>
    <w:p>
      <w:pPr>
        <w:pStyle w:val="BodyText"/>
      </w:pPr>
      <w:r>
        <w:t xml:space="preserve">We used the annual Version 1 Nighttime VIIRS DNB composites between 2015 and</w:t>
      </w:r>
      <w:r>
        <w:t xml:space="preserve"> </w:t>
      </w:r>
      <w:r>
        <w:t xml:space="preserve">2016</w:t>
      </w:r>
      <w:r>
        <w:t xml:space="preserve"> </w:t>
      </w:r>
      <w:r>
        <w:t xml:space="preserve">(Earth observation group,</w:t>
      </w:r>
      <w:r>
        <w:t xml:space="preserve"> </w:t>
      </w:r>
      <w:hyperlink w:anchor="ref-earthobservationgroup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to characterize coastal development in coastal areas of the</w:t>
      </w:r>
      <w:r>
        <w:t xml:space="preserve"> </w:t>
      </w:r>
      <w:r>
        <w:t xml:space="preserve">St. Lawrence. As the effects of coastal development are likely acute in its</w:t>
      </w:r>
      <w:r>
        <w:t xml:space="preserve"> </w:t>
      </w:r>
      <w:r>
        <w:t xml:space="preserve">direct vicinity, we extracted average radiance values using a 2 km buffer</w:t>
      </w:r>
      <w:r>
        <w:t xml:space="preserve"> </w:t>
      </w:r>
      <w:r>
        <w:t xml:space="preserve">around grid cells within 2 km of the coast. We used a weighted area average to</w:t>
      </w:r>
      <w:r>
        <w:t xml:space="preserve"> </w:t>
      </w:r>
      <w:r>
        <w:t xml:space="preserve">extract the radiance values.</w:t>
      </w:r>
    </w:p>
    <w:p>
      <w:pPr>
        <w:pStyle w:val="Heading3"/>
      </w:pPr>
      <w:bookmarkStart w:id="31" w:name="direct-human-impact"/>
      <w:r>
        <w:t xml:space="preserve">Direct human impact</w:t>
      </w:r>
      <w:bookmarkEnd w:id="31"/>
    </w:p>
    <w:p>
      <w:pPr>
        <w:pStyle w:val="FirstParagraph"/>
      </w:pPr>
      <w:r>
        <w:t xml:space="preserve">As in</w:t>
      </w:r>
      <w:r>
        <w:t xml:space="preserve"> </w:t>
      </w:r>
      <w:r>
        <w:t xml:space="preserve">Halpern et al. (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, we used the sum of coastal populations as</w:t>
      </w:r>
      <w:r>
        <w:t xml:space="preserve"> </w:t>
      </w:r>
      <w:r>
        <w:t xml:space="preserve">a proxy of direct human impact. We used Statistics Canada dissemination area</w:t>
      </w:r>
      <w:r>
        <w:t xml:space="preserve"> </w:t>
      </w:r>
      <w:r>
        <w:t xml:space="preserve">population count from the 2016 census to obtain coastal population size</w:t>
      </w:r>
      <w:r>
        <w:t xml:space="preserve"> </w:t>
      </w:r>
      <w:r>
        <w:t xml:space="preserve">around the St. Lawrence</w:t>
      </w:r>
      <w:r>
        <w:t xml:space="preserve"> </w:t>
      </w:r>
      <w:r>
        <w:t xml:space="preserve">(Statistics-Canada,</w:t>
      </w:r>
      <w:r>
        <w:t xml:space="preserve"> </w:t>
      </w:r>
      <w:hyperlink w:anchor="ref-statistics-canada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 Dissemination areas are the smallest</w:t>
      </w:r>
      <w:r>
        <w:t xml:space="preserve"> </w:t>
      </w:r>
      <w:r>
        <w:t xml:space="preserve">standard geographic area in which census data are disseminated and they combine</w:t>
      </w:r>
      <w:r>
        <w:t xml:space="preserve"> </w:t>
      </w:r>
      <w:r>
        <w:t xml:space="preserve">to cover all of Canada. The census provides population count within the boundary</w:t>
      </w:r>
      <w:r>
        <w:t xml:space="preserve"> </w:t>
      </w:r>
      <w:r>
        <w:t xml:space="preserve">of each dissemination area, which we used to evaluate total coastal population.</w:t>
      </w:r>
    </w:p>
    <w:p>
      <w:pPr>
        <w:pStyle w:val="BodyText"/>
      </w:pPr>
      <w:r>
        <w:t xml:space="preserve">As the effects of direct human impacts are likely acute mostly in coastal areas</w:t>
      </w:r>
      <w:r>
        <w:t xml:space="preserve"> </w:t>
      </w:r>
      <w:r>
        <w:t xml:space="preserve">we calculated total population in grid cells within 2 km of the coast. Total</w:t>
      </w:r>
      <w:r>
        <w:t xml:space="preserve"> </w:t>
      </w:r>
      <w:r>
        <w:t xml:space="preserve">population was measured in a 10 km buffer around each coastal cell.</w:t>
      </w:r>
      <w:r>
        <w:t xml:space="preserve"> </w:t>
      </w:r>
      <w:r>
        <w:t xml:space="preserve">The total population in each buffer was the sum of intersecting dissemination</w:t>
      </w:r>
      <w:r>
        <w:t xml:space="preserve"> </w:t>
      </w:r>
      <w:r>
        <w:t xml:space="preserve">areas divided by the intersection area between buffers and dissemination areas: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H</m:t>
          </m:r>
          <m:sSub>
            <m:e>
              <m:r>
                <m:t>I</m:t>
              </m:r>
            </m:e>
            <m:sub>
              <m:r>
                <m:t>j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t>*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A</m:t>
              </m:r>
              <m:r>
                <m:t>t</m:t>
              </m:r>
              <m:r>
                <m:t>o</m:t>
              </m:r>
              <m:r>
                <m:t>t</m:t>
              </m:r>
              <m:r>
                <m:t>,</m:t>
              </m:r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a buffered grid cell,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dissemination area intersecting</w:t>
      </w:r>
      <w:r>
        <w:t xml:space="preserve"> </w:t>
      </w:r>
      <m:oMath>
        <m:r>
          <m:t>j</m:t>
        </m:r>
      </m:oMath>
      <w:r>
        <w:t xml:space="preserve">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population 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area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overlapping with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is the total area of</w:t>
      </w:r>
      <w:r>
        <w:t xml:space="preserve"> </w:t>
      </w:r>
      <m:oMath>
        <m:r>
          <m:t>k</m:t>
        </m:r>
      </m:oMath>
      <w:r>
        <w:t xml:space="preserve">. This approach was favoured to reduce the</w:t>
      </w:r>
      <w:r>
        <w:t xml:space="preserve"> </w:t>
      </w:r>
      <w:r>
        <w:t xml:space="preserve">effects of very large dissemination areas overlapping with buffers on a very</w:t>
      </w:r>
      <w:r>
        <w:t xml:space="preserve"> </w:t>
      </w:r>
      <w:r>
        <w:t xml:space="preserve">small percentage of their total area.</w:t>
      </w:r>
    </w:p>
    <w:p>
      <w:pPr>
        <w:pStyle w:val="Heading3"/>
      </w:pPr>
      <w:bookmarkStart w:id="32" w:name="inorganic-pollution"/>
      <w:r>
        <w:t xml:space="preserve">Inorganic pollution</w:t>
      </w:r>
      <w:bookmarkEnd w:id="32"/>
    </w:p>
    <w:p>
      <w:pPr>
        <w:pStyle w:val="FirstParagraph"/>
      </w:pPr>
      <w:r>
        <w:t xml:space="preserve">The data used to characterize inorganic pollution comes from the global</w:t>
      </w:r>
      <w:r>
        <w:t xml:space="preserve"> </w:t>
      </w:r>
      <w:r>
        <w:t xml:space="preserve">cumulative impacts assessment on habitats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a">
        <w:r>
          <w:rPr>
            <w:rStyle w:val="Hyperlink"/>
          </w:rPr>
          <w:t xml:space="preserve">2015</w:t>
        </w:r>
      </w:hyperlink>
      <w:hyperlink w:anchor="ref-halpern2015a">
        <w:r>
          <w:rPr>
            <w:rStyle w:val="Hyperlink"/>
          </w:rPr>
          <w:t xml:space="preserve">b</w:t>
        </w:r>
      </w:hyperlink>
      <w:r>
        <w:t xml:space="preserve">,</w:t>
      </w:r>
      <w:r>
        <w:t xml:space="preserve"> 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available on the NCEAS online data repository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 We provide a</w:t>
      </w:r>
      <w:r>
        <w:t xml:space="preserve"> </w:t>
      </w:r>
      <w:r>
        <w:t xml:space="preserve">brief summary of data and methods in this document. For more details, refer to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Inorganic pollution was modelled using impervious surface area (</w:t>
      </w:r>
      <w:r>
        <w:rPr>
          <w:i/>
        </w:rPr>
        <w:t xml:space="preserve">i.e.</w:t>
      </w:r>
      <w:r>
        <w:t xml:space="preserve"> </w:t>
      </w:r>
      <w:r>
        <w:t xml:space="preserve">artificial surfaces such as paved roads) under the assumption that most of this</w:t>
      </w:r>
      <w:r>
        <w:t xml:space="preserve"> </w:t>
      </w:r>
      <w:r>
        <w:t xml:space="preserve">pollution source comes from urban runoff. Inorganic pollution originating from</w:t>
      </w:r>
      <w:r>
        <w:t xml:space="preserve"> </w:t>
      </w:r>
      <w:r>
        <w:t xml:space="preserve">point-sources or in areas lacking paved roads is therefore not captured by</w:t>
      </w:r>
      <w:r>
        <w:t xml:space="preserve"> </w:t>
      </w:r>
      <w:r>
        <w:t xml:space="preserve">this layer. The data obtained was aggregated at the watershed scale and spread</w:t>
      </w:r>
      <w:r>
        <w:t xml:space="preserve"> </w:t>
      </w:r>
      <w:r>
        <w:t xml:space="preserve">into coastal and marine environments was modelled using a diffusive plume model</w:t>
      </w:r>
      <w:r>
        <w:t xml:space="preserve"> </w:t>
      </w:r>
      <w:r>
        <w:t xml:space="preserve">from each watershed pourpoints (</w:t>
      </w:r>
      <w:r>
        <w:rPr>
          <w:i/>
        </w:rPr>
        <w:t xml:space="preserve">e.g.</w:t>
      </w:r>
      <w:r>
        <w:t xml:space="preserve"> </w:t>
      </w:r>
      <w:r>
        <w:t xml:space="preserve">river mouths).</w:t>
      </w:r>
    </w:p>
    <w:p>
      <w:pPr>
        <w:pStyle w:val="BodyText"/>
      </w:pPr>
      <w:r>
        <w:t xml:space="preserve">For the St. Lawrence, we overlaid the raw data layers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with our</w:t>
      </w:r>
      <w:r>
        <w:t xml:space="preserve"> </w:t>
      </w:r>
      <w:r>
        <w:t xml:space="preserve">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grid cell using weighted area average.</w:t>
      </w:r>
    </w:p>
    <w:p>
      <w:pPr>
        <w:pStyle w:val="Heading3"/>
      </w:pPr>
      <w:bookmarkStart w:id="33" w:name="nutrient-pollution"/>
      <w:r>
        <w:t xml:space="preserve">Nutrient pollution</w:t>
      </w:r>
      <w:bookmarkEnd w:id="33"/>
    </w:p>
    <w:p>
      <w:pPr>
        <w:pStyle w:val="FirstParagraph"/>
      </w:pPr>
      <w:r>
        <w:t xml:space="preserve">The data used to characterize nutrient pollution comes from the global</w:t>
      </w:r>
      <w:r>
        <w:t xml:space="preserve"> </w:t>
      </w:r>
      <w:r>
        <w:t xml:space="preserve">cumulative impacts assessment on habitats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a">
        <w:r>
          <w:rPr>
            <w:rStyle w:val="Hyperlink"/>
          </w:rPr>
          <w:t xml:space="preserve">2015</w:t>
        </w:r>
      </w:hyperlink>
      <w:hyperlink w:anchor="ref-halpern2015a">
        <w:r>
          <w:rPr>
            <w:rStyle w:val="Hyperlink"/>
          </w:rPr>
          <w:t xml:space="preserve">b</w:t>
        </w:r>
      </w:hyperlink>
      <w:r>
        <w:t xml:space="preserve">,</w:t>
      </w:r>
      <w:r>
        <w:t xml:space="preserve"> 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available on the NCEAS online data repository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 We provide a</w:t>
      </w:r>
      <w:r>
        <w:t xml:space="preserve"> </w:t>
      </w:r>
      <w:r>
        <w:t xml:space="preserve">brief summary of data and methods in this document. For more details, refer to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Annual fertilizer use in tonnes (</w:t>
      </w:r>
      <m:oMath>
        <m:r>
          <m:t>t</m:t>
        </m:r>
      </m:oMath>
      <w:r>
        <w:t xml:space="preserve">) was used as a proxy of nutrient pollution.</w:t>
      </w:r>
      <w:r>
        <w:t xml:space="preserve"> </w:t>
      </w:r>
      <w:r>
        <w:t xml:space="preserve">The data used came from the Food and Agriculture Organization of the United</w:t>
      </w:r>
      <w:r>
        <w:t xml:space="preserve"> </w:t>
      </w:r>
      <w:r>
        <w:t xml:space="preserve">Nations (FAO). Gaps in data were modelled using a linear regression between</w:t>
      </w:r>
      <w:r>
        <w:t xml:space="preserve"> </w:t>
      </w:r>
      <w:r>
        <w:t xml:space="preserve">fertilizer and pesticides or agricultural gross domestic product (GDP).</w:t>
      </w:r>
      <w:r>
        <w:t xml:space="preserve"> </w:t>
      </w:r>
      <w:r>
        <w:t xml:space="preserve">Dasymetric maps were then used to distribute fertilizer data over the landscape</w:t>
      </w:r>
      <w:r>
        <w:t xml:space="preserve"> </w:t>
      </w:r>
      <w:r>
        <w:t xml:space="preserve">using 2009 data from the Moderate Resolution Imaging Spectroradiometer (MODIS)</w:t>
      </w:r>
      <w:r>
        <w:t xml:space="preserve"> </w:t>
      </w:r>
      <w:r>
        <w:t xml:space="preserve">at ~500 m resolution and aggregated to watersheds. Diffusive plume models</w:t>
      </w:r>
      <w:r>
        <w:t xml:space="preserve"> </w:t>
      </w:r>
      <w:r>
        <w:t xml:space="preserve">from each watershed pourpoint (</w:t>
      </w:r>
      <w:r>
        <w:rPr>
          <w:i/>
        </w:rPr>
        <w:t xml:space="preserve">e.g.</w:t>
      </w:r>
      <w:r>
        <w:t xml:space="preserve"> </w:t>
      </w:r>
      <w:r>
        <w:t xml:space="preserve">river mouths) were then used to model the</w:t>
      </w:r>
      <w:r>
        <w:t xml:space="preserve"> </w:t>
      </w:r>
      <w:r>
        <w:t xml:space="preserve">distribution and intensity of nutrient pollution in coastal and marine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For the St. Lawrence, we overlaid the raw data layers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with our</w:t>
      </w:r>
      <w:r>
        <w:t xml:space="preserve"> </w:t>
      </w:r>
      <w:r>
        <w:t xml:space="preserve">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grid cell using weighted area average.</w:t>
      </w:r>
    </w:p>
    <w:p>
      <w:pPr>
        <w:pStyle w:val="Heading3"/>
      </w:pPr>
      <w:bookmarkStart w:id="34" w:name="organic-pollution"/>
      <w:r>
        <w:t xml:space="preserve">Organic pollution</w:t>
      </w:r>
      <w:bookmarkEnd w:id="34"/>
    </w:p>
    <w:p>
      <w:pPr>
        <w:pStyle w:val="FirstParagraph"/>
      </w:pPr>
      <w:r>
        <w:t xml:space="preserve">The data used to characterize organic pollution comes from the global</w:t>
      </w:r>
      <w:r>
        <w:t xml:space="preserve"> </w:t>
      </w:r>
      <w:r>
        <w:t xml:space="preserve">cumulative impacts assessment on habitats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a">
        <w:r>
          <w:rPr>
            <w:rStyle w:val="Hyperlink"/>
          </w:rPr>
          <w:t xml:space="preserve">2015</w:t>
        </w:r>
      </w:hyperlink>
      <w:hyperlink w:anchor="ref-halpern2015a">
        <w:r>
          <w:rPr>
            <w:rStyle w:val="Hyperlink"/>
          </w:rPr>
          <w:t xml:space="preserve">b</w:t>
        </w:r>
      </w:hyperlink>
      <w:r>
        <w:t xml:space="preserve">,</w:t>
      </w:r>
      <w:r>
        <w:t xml:space="preserve"> 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available on the NCEAS online data repository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 We provide a</w:t>
      </w:r>
      <w:r>
        <w:t xml:space="preserve"> </w:t>
      </w:r>
      <w:r>
        <w:t xml:space="preserve">brief summary of data and methods in this document. For more details, refer to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Annual pesticide use in tonnes (</w:t>
      </w:r>
      <m:oMath>
        <m:r>
          <m:t>t</m:t>
        </m:r>
      </m:oMath>
      <w:r>
        <w:t xml:space="preserve">) was used as a proxy of organic pollution.</w:t>
      </w:r>
      <w:r>
        <w:t xml:space="preserve"> </w:t>
      </w:r>
      <w:r>
        <w:t xml:space="preserve">The data used came from the FAO and gaps in data were modelled using a linear</w:t>
      </w:r>
      <w:r>
        <w:t xml:space="preserve"> </w:t>
      </w:r>
      <w:r>
        <w:t xml:space="preserve">regression between pesticides and fertilizers or agricultural GDP. The same</w:t>
      </w:r>
      <w:r>
        <w:t xml:space="preserve"> </w:t>
      </w:r>
      <w:r>
        <w:t xml:space="preserve">methodology as that used to characterized nutrient pollution was then applied</w:t>
      </w:r>
      <w:r>
        <w:t xml:space="preserve"> </w:t>
      </w:r>
      <w:r>
        <w:t xml:space="preserve">to organic polllution.</w:t>
      </w:r>
    </w:p>
    <w:p>
      <w:pPr>
        <w:pStyle w:val="BodyText"/>
      </w:pPr>
      <w:r>
        <w:t xml:space="preserve">For the St. Lawrence, we overlaid the raw data layers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with our</w:t>
      </w:r>
      <w:r>
        <w:t xml:space="preserve"> </w:t>
      </w:r>
      <w:r>
        <w:t xml:space="preserve">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grid cell using weighted area average.</w:t>
      </w:r>
    </w:p>
    <w:p>
      <w:pPr>
        <w:pStyle w:val="Heading3"/>
      </w:pPr>
      <w:bookmarkStart w:id="35" w:name="toxic-algae"/>
      <w:r>
        <w:t xml:space="preserve">Toxic algae</w:t>
      </w:r>
      <w:bookmarkEnd w:id="35"/>
    </w:p>
    <w:p>
      <w:pPr>
        <w:pStyle w:val="FirstParagraph"/>
      </w:pPr>
      <w:r>
        <w:t xml:space="preserve">The data we use to describe the risk of toxic algae comes from an expert based</w:t>
      </w:r>
      <w:r>
        <w:t xml:space="preserve"> </w:t>
      </w:r>
      <w:r>
        <w:t xml:space="preserve">map delineating the areas where coastal areas are at risk from five different</w:t>
      </w:r>
      <w:r>
        <w:t xml:space="preserve"> </w:t>
      </w:r>
      <w:r>
        <w:t xml:space="preserve">toxins</w:t>
      </w:r>
      <w:r>
        <w:t xml:space="preserve"> </w:t>
      </w:r>
      <w:r>
        <w:t xml:space="preserve">(Bates,</w:t>
      </w:r>
      <w:r>
        <w:t xml:space="preserve"> </w:t>
      </w:r>
      <w:hyperlink w:anchor="ref-bates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 The map presents coastal areas at risk from 5</w:t>
      </w:r>
      <w:r>
        <w:t xml:space="preserve"> </w:t>
      </w:r>
      <w:r>
        <w:t xml:space="preserve">different toxins: 1) paralytic shellfish poisoning (PSP) toxins from the regular</w:t>
      </w:r>
      <w:r>
        <w:t xml:space="preserve"> </w:t>
      </w:r>
      <w:r>
        <w:t xml:space="preserve">presence of the dinoflagellate</w:t>
      </w:r>
      <w:r>
        <w:t xml:space="preserve"> </w:t>
      </w:r>
      <w:r>
        <w:rPr>
          <w:i/>
        </w:rPr>
        <w:t xml:space="preserve">Alexandrium catenella</w:t>
      </w:r>
      <w:r>
        <w:t xml:space="preserve"> </w:t>
      </w:r>
      <w:r>
        <w:t xml:space="preserve">(previously</w:t>
      </w:r>
      <w:r>
        <w:t xml:space="preserve"> </w:t>
      </w:r>
      <w:r>
        <w:rPr>
          <w:i/>
        </w:rPr>
        <w:t xml:space="preserve">Alexandrium tamarense</w:t>
      </w:r>
      <w:r>
        <w:t xml:space="preserve">) at high concentrations, 2) amnesic shellfish</w:t>
      </w:r>
      <w:r>
        <w:t xml:space="preserve"> </w:t>
      </w:r>
      <w:r>
        <w:t xml:space="preserve">poisoning (ASP) toxins from domoic acid 3) diarrhetic shellfish poisoning (DSP)</w:t>
      </w:r>
      <w:r>
        <w:t xml:space="preserve"> </w:t>
      </w:r>
      <w:r>
        <w:t xml:space="preserve">toxins, 4) spirolides and 5) pectenotoxins, two toxins produced by</w:t>
      </w:r>
      <w:r>
        <w:t xml:space="preserve"> </w:t>
      </w:r>
      <w:r>
        <w:t xml:space="preserve">dinoflagellates occurring in the St. Lawrence.</w:t>
      </w:r>
    </w:p>
    <w:p>
      <w:pPr>
        <w:pStyle w:val="BodyText"/>
      </w:pPr>
      <w:r>
        <w:t xml:space="preserve">The information provided on this expert map on the 5 toxins</w:t>
      </w:r>
      <w:r>
        <w:t xml:space="preserve"> </w:t>
      </w:r>
      <w:r>
        <w:t xml:space="preserve">(Bates,</w:t>
      </w:r>
      <w:r>
        <w:t xml:space="preserve"> </w:t>
      </w:r>
      <w:hyperlink w:anchor="ref-bates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was georeferenced and transformed as vecctorized objects.</w:t>
      </w:r>
      <w:r>
        <w:t xml:space="preserve"> </w:t>
      </w:r>
      <w:r>
        <w:t xml:space="preserve">We calculated a toxic algae risk (</w:t>
      </w:r>
      <m:oMath>
        <m:r>
          <m:t>T</m:t>
        </m:r>
      </m:oMath>
      <w:r>
        <w:t xml:space="preserve">) index for each cell (</w:t>
      </w:r>
      <m:oMath>
        <m:r>
          <m:t>x</m:t>
        </m:r>
      </m:oMath>
      <w:r>
        <w:t xml:space="preserve">) in the 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study grid. For each toxin (</w:t>
      </w:r>
      <m:oMath>
        <m:r>
          <m:t>t</m:t>
        </m:r>
      </m:oMath>
      <w:r>
        <w:t xml:space="preserve">), a value of 1 was attributed to all grid cells</w:t>
      </w:r>
      <w:r>
        <w:t xml:space="preserve"> </w:t>
      </w:r>
      <w:r>
        <w:t xml:space="preserve">overlapping with areas identified at risk on the expert map and a value of 0.5</w:t>
      </w:r>
      <w:r>
        <w:t xml:space="preserve"> </w:t>
      </w:r>
      <w:r>
        <w:t xml:space="preserve">for grid cells overlapping with areas where ASP and DSP toxins were observed</w:t>
      </w:r>
      <w:r>
        <w:t xml:space="preserve"> </w:t>
      </w:r>
      <w:r>
        <w:t xml:space="preserve">without exceeding legal thresholds. The value for all 5 toxins was them summed</w:t>
      </w:r>
      <w:r>
        <w:t xml:space="preserve"> </w:t>
      </w:r>
      <w:r>
        <w:t xml:space="preserve">for all grid cells: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sSub>
            <m:e>
              <m:r>
                <m:t>A</m:t>
              </m:r>
            </m:e>
            <m:sub>
              <m:r>
                <m:t>i</m:t>
              </m:r>
              <m:r>
                <m:t>,</m:t>
              </m:r>
              <m:r>
                <m:t>x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5</m:t>
              </m:r>
            </m:sup>
            <m:e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</m:e>
          </m:nary>
        </m:oMath>
      </m:oMathPara>
    </w:p>
    <w:p>
      <w:pPr>
        <w:pStyle w:val="Heading2"/>
      </w:pPr>
      <w:bookmarkStart w:id="36" w:name="fisheries"/>
      <w:r>
        <w:t xml:space="preserve">Fisheries</w:t>
      </w:r>
      <w:bookmarkEnd w:id="36"/>
    </w:p>
    <w:p>
      <w:pPr>
        <w:pStyle w:val="FirstParagraph"/>
      </w:pPr>
      <w:r>
        <w:t xml:space="preserve">The impacts of fisheries activities in the St. Lawrence are evaluated using</w:t>
      </w:r>
      <w:r>
        <w:t xml:space="preserve"> </w:t>
      </w:r>
      <w:r>
        <w:t xml:space="preserve">DFO’s fisheries logbooks program</w:t>
      </w:r>
      <w:r>
        <w:t xml:space="preserve"> </w:t>
      </w:r>
      <w:r>
        <w:t xml:space="preserve">(DFO,</w:t>
      </w:r>
      <w:r>
        <w:t xml:space="preserve"> </w:t>
      </w:r>
      <w:hyperlink w:anchor="ref-dfo2016">
        <w:r>
          <w:rPr>
            <w:rStyle w:val="Hyperlink"/>
          </w:rPr>
          <w:t xml:space="preserve">2016</w:t>
        </w:r>
      </w:hyperlink>
      <w:hyperlink w:anchor="ref-dfo2016"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. While logbooks are not mandatory</w:t>
      </w:r>
      <w:r>
        <w:t xml:space="preserve"> </w:t>
      </w:r>
      <w:r>
        <w:t xml:space="preserve">for all fisheries in the St. Lawrence, they still provide a very thorough</w:t>
      </w:r>
      <w:r>
        <w:t xml:space="preserve"> </w:t>
      </w:r>
      <w:r>
        <w:t xml:space="preserve">overview of the spatial distribution and intensity of fishing activities in the</w:t>
      </w:r>
      <w:r>
        <w:t xml:space="preserve"> </w:t>
      </w:r>
      <w:r>
        <w:t xml:space="preserve">St. Lawrence. The data we used spans 6 years from 2010 to 2015 and details</w:t>
      </w:r>
      <w:r>
        <w:t xml:space="preserve"> </w:t>
      </w:r>
      <w:r>
        <w:t xml:space="preserve">218323 fishing events (36387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3147 fishing events per year). There were 31</w:t>
      </w:r>
      <w:r>
        <w:t xml:space="preserve"> </w:t>
      </w:r>
      <w:r>
        <w:t xml:space="preserve">targetted species and a total of 53 caught species in the dataset.</w:t>
      </w:r>
    </w:p>
    <w:p>
      <w:pPr>
        <w:pStyle w:val="BodyText"/>
      </w:pPr>
      <w:r>
        <w:t xml:space="preserve">Fishing activities are performed using a variety of gear types: trap, trawl,</w:t>
      </w:r>
      <w:r>
        <w:t xml:space="preserve"> </w:t>
      </w:r>
      <w:r>
        <w:t xml:space="preserve">dredge, driftnet, hand line, longline, scuba diving, purse seine, seine, beach</w:t>
      </w:r>
      <w:r>
        <w:t xml:space="preserve"> </w:t>
      </w:r>
      <w:r>
        <w:t xml:space="preserve">seine and jig fishing. Intensity of fishing activities was divided among gear</w:t>
      </w:r>
      <w:r>
        <w:t xml:space="preserve"> </w:t>
      </w:r>
      <w:r>
        <w:t xml:space="preserve">types and based on their respective types of environmental impacts (Table S2).</w:t>
      </w:r>
      <w:r>
        <w:t xml:space="preserve"> </w:t>
      </w:r>
      <w:r>
        <w:t xml:space="preserve">For example, traps and trawls have very different effects on a system. Gear</w:t>
      </w:r>
      <w:r>
        <w:t xml:space="preserve"> </w:t>
      </w:r>
      <w:r>
        <w:t xml:space="preserve">classification was done using the classification presented in</w:t>
      </w:r>
      <w:r>
        <w:t xml:space="preserve"> </w:t>
      </w:r>
      <w:r>
        <w:t xml:space="preserve">Halpern et al. (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and is broken down into 5 distinct classes: demersal destructive</w:t>
      </w:r>
      <w:r>
        <w:t xml:space="preserve"> </w:t>
      </w:r>
      <w:r>
        <w:t xml:space="preserve">(DD), demersal, non-destructive, low-bycatch (DNL), demersal, non-destructive,</w:t>
      </w:r>
      <w:r>
        <w:t xml:space="preserve"> </w:t>
      </w:r>
      <w:r>
        <w:t xml:space="preserve">high-bycatch (DNH), pelagic, low-bycatch (PLB) and pelagic, high-bycatch (PHB).</w:t>
      </w:r>
      <w:r>
        <w:t xml:space="preserve"> </w:t>
      </w:r>
      <w:r>
        <w:t xml:space="preserve">This categorization therefore divides the fisheries data into 5 distinct</w:t>
      </w:r>
      <w:r>
        <w:t xml:space="preserve"> </w:t>
      </w:r>
      <w:r>
        <w:t xml:space="preserve">driver layers characterizing fishing activities.</w:t>
      </w:r>
    </w:p>
    <w:p>
      <w:pPr>
        <w:pStyle w:val="BodyText"/>
      </w:pPr>
      <w:r>
        <w:t xml:space="preserve">Gear types can also be further classified into fixed or mobile engines based</w:t>
      </w:r>
      <w:r>
        <w:t xml:space="preserve"> </w:t>
      </w:r>
      <w:r>
        <w:t xml:space="preserve">on their mobility. We used these two mobility classes to generate a buffer of</w:t>
      </w:r>
      <w:r>
        <w:t xml:space="preserve"> </w:t>
      </w:r>
      <w:r>
        <w:t xml:space="preserve">impact around each fishing activity coordinates to consider potential spatial</w:t>
      </w:r>
      <w:r>
        <w:t xml:space="preserve"> </w:t>
      </w:r>
      <w:r>
        <w:t xml:space="preserve">uncertainty associated with locations and the fact that mobile engines can be</w:t>
      </w:r>
      <w:r>
        <w:t xml:space="preserve"> </w:t>
      </w:r>
      <w:r>
        <w:t xml:space="preserve">tracted over several kilometers during fishing activities and that we do not</w:t>
      </w:r>
      <w:r>
        <w:t xml:space="preserve"> </w:t>
      </w:r>
      <w:r>
        <w:t xml:space="preserve">have the beginning and end points of mobile fishing events. Buffer sizes for</w:t>
      </w:r>
      <w:r>
        <w:t xml:space="preserve"> </w:t>
      </w:r>
      <w:r>
        <w:t xml:space="preserve">fixed and mobile engine was of 200 and 2000 meters, respectively.</w:t>
      </w:r>
    </w:p>
    <w:p>
      <w:pPr>
        <w:pStyle w:val="BodyText"/>
      </w:pPr>
      <w:r>
        <w:t xml:space="preserve">Table S2. Classification of gear types in the fisheries dataset based on their</w:t>
      </w:r>
      <w:r>
        <w:t xml:space="preserve"> </w:t>
      </w:r>
      <w:r>
        <w:t xml:space="preserve">environmental impact and mobility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Gear type (EN)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Trap</w:t>
            </w:r>
          </w:p>
        </w:tc>
        <w:tc>
          <w:p>
            <w:pPr>
              <w:pStyle w:val="Compact"/>
              <w:jc w:val="left"/>
            </w:pPr>
            <w:r>
              <w:t xml:space="preserve">DNH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Trawl</w:t>
            </w:r>
          </w:p>
        </w:tc>
        <w:tc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p>
            <w:pPr>
              <w:pStyle w:val="Compact"/>
              <w:jc w:val="left"/>
            </w:pPr>
            <w:r>
              <w:t xml:space="preserve">Mobile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Dredge</w:t>
            </w:r>
          </w:p>
        </w:tc>
        <w:tc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p>
            <w:pPr>
              <w:pStyle w:val="Compact"/>
              <w:jc w:val="left"/>
            </w:pPr>
            <w:r>
              <w:t xml:space="preserve">Mobile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Driftnet</w:t>
            </w:r>
          </w:p>
        </w:tc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Hand lines</w:t>
            </w:r>
          </w:p>
        </w:tc>
        <w:tc>
          <w:p>
            <w:pPr>
              <w:pStyle w:val="Compact"/>
              <w:jc w:val="left"/>
            </w:pPr>
            <w:r>
              <w:t xml:space="preserve">PLB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Longline</w:t>
            </w:r>
          </w:p>
        </w:tc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Scuba diving</w:t>
            </w:r>
          </w:p>
        </w:tc>
        <w:tc>
          <w:p>
            <w:pPr>
              <w:pStyle w:val="Compact"/>
              <w:jc w:val="left"/>
            </w:pPr>
            <w:r>
              <w:t xml:space="preserve">DNL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Purse seine</w:t>
            </w:r>
          </w:p>
        </w:tc>
        <w:tc>
          <w:p>
            <w:pPr>
              <w:pStyle w:val="Compact"/>
              <w:jc w:val="left"/>
            </w:pPr>
            <w:r>
              <w:t xml:space="preserve">PLB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Seine</w:t>
            </w:r>
          </w:p>
        </w:tc>
        <w:tc>
          <w:p>
            <w:pPr>
              <w:pStyle w:val="Compact"/>
              <w:jc w:val="left"/>
            </w:pPr>
            <w:r>
              <w:t xml:space="preserve">DNH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Beach seine</w:t>
            </w:r>
          </w:p>
        </w:tc>
        <w:tc>
          <w:p>
            <w:pPr>
              <w:pStyle w:val="Compact"/>
              <w:jc w:val="left"/>
            </w:pPr>
            <w:r>
              <w:t xml:space="preserve">DNH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Trap</w:t>
            </w:r>
          </w:p>
        </w:tc>
        <w:tc>
          <w:p>
            <w:pPr>
              <w:pStyle w:val="Compact"/>
              <w:jc w:val="left"/>
            </w:pPr>
            <w:r>
              <w:t xml:space="preserve">DNH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Jig fishing</w:t>
            </w:r>
          </w:p>
        </w:tc>
        <w:tc>
          <w:p>
            <w:pPr>
              <w:pStyle w:val="Compact"/>
              <w:jc w:val="left"/>
            </w:pPr>
            <w:r>
              <w:t xml:space="preserve">PLB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</w:tr>
    </w:tbl>
    <w:p>
      <w:pPr>
        <w:pStyle w:val="BodyText"/>
      </w:pPr>
      <w:r>
        <w:t xml:space="preserve">In order to characterize the intensity of fishing activities (</w:t>
      </w:r>
      <m:oMath>
        <m:r>
          <m:t>F</m:t>
        </m:r>
        <m:r>
          <m:t>I</m:t>
        </m:r>
      </m:oMath>
      <w:r>
        <w:t xml:space="preserve">), we used</w:t>
      </w:r>
      <w:r>
        <w:t xml:space="preserve"> </w:t>
      </w:r>
      <w:r>
        <w:t xml:space="preserve">a biomass yield density index. We multipled the total annual biomass captured</w:t>
      </w:r>
      <w:r>
        <w:t xml:space="preserve"> </w:t>
      </w:r>
      <w:r>
        <w:t xml:space="preserve">in each grid cell</w:t>
      </w:r>
      <w:r>
        <w:t xml:space="preserve"> </w:t>
      </w:r>
      <w:r>
        <w:rPr>
          <w:i/>
        </w:rPr>
        <w:t xml:space="preserve">j</w:t>
      </w:r>
      <w:r>
        <w:t xml:space="preserve">, regardless of species, by the proportion of fishing area</w:t>
      </w:r>
      <w:r>
        <w:t xml:space="preserve"> </w:t>
      </w:r>
      <w:r>
        <w:t xml:space="preserve">in each grid cell: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j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,</m:t>
                  </m:r>
                  <m:r>
                    <m:t>k</m:t>
                  </m:r>
                </m:sub>
              </m:sSub>
            </m:e>
          </m:nary>
          <m:r>
            <m:t>*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a grid cell,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fishing event,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is the total biomass</w:t>
      </w:r>
      <w:r>
        <w:t xml:space="preserve"> </w:t>
      </w:r>
      <w:r>
        <w:t xml:space="preserve">of a fishing event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area of a fishing event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overlapping a</w:t>
      </w:r>
      <w:r>
        <w:t xml:space="preserve"> </w:t>
      </w:r>
      <w:r>
        <w:t xml:space="preserve">cell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is the total area of the fishing event</w:t>
      </w:r>
      <w:r>
        <w:t xml:space="preserve"> </w:t>
      </w:r>
      <m:oMath>
        <m:r>
          <m:t>k</m:t>
        </m:r>
      </m:oMath>
      <w:r>
        <w:t xml:space="preserve">. This formula</w:t>
      </w:r>
      <w:r>
        <w:t xml:space="preserve"> </w:t>
      </w:r>
      <w:r>
        <w:t xml:space="preserve">gives an intensity measurement in biomass units, which is kg in our case. Since</w:t>
      </w:r>
      <w:r>
        <w:t xml:space="preserve"> </w:t>
      </w:r>
      <w:r>
        <w:t xml:space="preserve">we measure the intensity within a 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grid cell, the intensity evaluation</w:t>
      </w:r>
      <w:r>
        <w:t xml:space="preserve"> </w:t>
      </w:r>
      <w:r>
        <w:t xml:space="preserve">is in</w:t>
      </w:r>
      <w:r>
        <w:t xml:space="preserve"> </w:t>
      </w:r>
      <m:oMath>
        <m:r>
          <m:t>k</m:t>
        </m:r>
        <m:r>
          <m:t>g</m:t>
        </m:r>
        <m:r>
          <m:t>*</m:t>
        </m:r>
        <m:r>
          <m:t>k</m:t>
        </m:r>
        <m:sSup>
          <m:e>
            <m:r>
              <m:t>m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. This metric distributes the biomass captured within each</w:t>
      </w:r>
      <w:r>
        <w:t xml:space="preserve"> </w:t>
      </w:r>
      <w:r>
        <w:t xml:space="preserve">grid cell as a function of overlapping fishing area and provides an overview of</w:t>
      </w:r>
      <w:r>
        <w:t xml:space="preserve"> </w:t>
      </w:r>
      <w:r>
        <w:t xml:space="preserve">how impacted each grid cell is in terms of extracted biomass.</w:t>
      </w:r>
    </w:p>
    <w:p>
      <w:pPr>
        <w:pStyle w:val="Heading2"/>
      </w:pPr>
      <w:bookmarkStart w:id="37" w:name="marine-traffic"/>
      <w:r>
        <w:t xml:space="preserve">Marine traffic</w:t>
      </w:r>
      <w:bookmarkEnd w:id="37"/>
    </w:p>
    <w:p>
      <w:pPr>
        <w:pStyle w:val="Heading3"/>
      </w:pPr>
      <w:bookmarkStart w:id="38" w:name="shipping"/>
      <w:r>
        <w:t xml:space="preserve">Shipping</w:t>
      </w:r>
      <w:bookmarkEnd w:id="38"/>
    </w:p>
    <w:p>
      <w:pPr>
        <w:pStyle w:val="FirstParagraph"/>
      </w:pPr>
      <w:r>
        <w:t xml:space="preserve">The data used to characterize shipping comes from the global cumulative impacts</w:t>
      </w:r>
      <w:r>
        <w:t xml:space="preserve"> </w:t>
      </w:r>
      <w:r>
        <w:t xml:space="preserve">assessment on habitats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a">
        <w:r>
          <w:rPr>
            <w:rStyle w:val="Hyperlink"/>
          </w:rPr>
          <w:t xml:space="preserve">2015</w:t>
        </w:r>
      </w:hyperlink>
      <w:hyperlink w:anchor="ref-halpern2015a">
        <w:r>
          <w:rPr>
            <w:rStyle w:val="Hyperlink"/>
          </w:rPr>
          <w:t xml:space="preserve">b</w:t>
        </w:r>
      </w:hyperlink>
      <w:r>
        <w:t xml:space="preserve">,</w:t>
      </w:r>
      <w:r>
        <w:t xml:space="preserve"> 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 available on the NCEAS</w:t>
      </w:r>
      <w:r>
        <w:t xml:space="preserve"> </w:t>
      </w:r>
      <w:r>
        <w:t xml:space="preserve">online data repository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 We provide a brief summary of data and</w:t>
      </w:r>
      <w:r>
        <w:t xml:space="preserve"> </w:t>
      </w:r>
      <w:r>
        <w:t xml:space="preserve">methods in this document. For more details, refer to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Two data sources were used to characterize shipping. The first set of data is</w:t>
      </w:r>
      <w:r>
        <w:t xml:space="preserve"> </w:t>
      </w:r>
      <w:r>
        <w:t xml:space="preserve">gathered as part of the World Meteorological Organization Voluntary Observing</w:t>
      </w:r>
      <w:r>
        <w:t xml:space="preserve"> </w:t>
      </w:r>
      <w:r>
        <w:t xml:space="preserve">Ships’ (VOS) scheme. Ships participating in the program gather</w:t>
      </w:r>
      <w:r>
        <w:t xml:space="preserve"> </w:t>
      </w:r>
      <w:r>
        <w:t xml:space="preserve">meteorological data along with observation location as part of an open-ocean</w:t>
      </w:r>
      <w:r>
        <w:t xml:space="preserve"> </w:t>
      </w:r>
      <w:r>
        <w:t xml:space="preserve">climate dataset. The data spans 20 years and annually covers 10-20% of ships</w:t>
      </w:r>
      <w:r>
        <w:t xml:space="preserve"> </w:t>
      </w:r>
      <w:r>
        <w:t xml:space="preserve">worlwide. Data used spanned 2003 to 2011.</w:t>
      </w:r>
    </w:p>
    <w:p>
      <w:pPr>
        <w:pStyle w:val="BodyText"/>
      </w:pPr>
      <w:r>
        <w:t xml:space="preserve">The second set of data comes from the Automatic Identification System (AIS),</w:t>
      </w:r>
      <w:r>
        <w:t xml:space="preserve"> </w:t>
      </w:r>
      <w:r>
        <w:t xml:space="preserve">an initiative launched in 2002 that sought to improve marine safety by providing</w:t>
      </w:r>
      <w:r>
        <w:t xml:space="preserve"> </w:t>
      </w:r>
      <w:r>
        <w:t xml:space="preserve">mariners with real-time vessel traffic. Through the</w:t>
      </w:r>
      <w:r>
        <w:t xml:space="preserve"> </w:t>
      </w:r>
      <w:r>
        <w:t xml:space="preserve">International Maritime Organization SOLAS agreement, all vessels of over 300</w:t>
      </w:r>
      <w:r>
        <w:t xml:space="preserve"> </w:t>
      </w:r>
      <w:r>
        <w:t xml:space="preserve">gross tonnage on international voyages and those carrying passengers are now</w:t>
      </w:r>
      <w:r>
        <w:t xml:space="preserve"> </w:t>
      </w:r>
      <w:r>
        <w:t xml:space="preserve">required to be equipped with AIS transceivers. These transceivers use Global</w:t>
      </w:r>
      <w:r>
        <w:t xml:space="preserve"> </w:t>
      </w:r>
      <w:r>
        <w:t xml:space="preserve">Positioning System technology to locate vessels every 10 minutes. The data used</w:t>
      </w:r>
      <w:r>
        <w:t xml:space="preserve"> </w:t>
      </w:r>
      <w:r>
        <w:t xml:space="preserve">was from November 2010 to December 2011.</w:t>
      </w:r>
    </w:p>
    <w:p>
      <w:pPr>
        <w:pStyle w:val="BodyText"/>
      </w:pPr>
      <w:r>
        <w:t xml:space="preserve">Data used come mostly from vessels that move globally (</w:t>
      </w:r>
      <w:r>
        <w:rPr>
          <w:i/>
        </w:rPr>
        <w:t xml:space="preserve">i.e.</w:t>
      </w:r>
      <w:r>
        <w:t xml:space="preserve"> </w:t>
      </w:r>
      <w:r>
        <w:t xml:space="preserve">cargo, tanker and</w:t>
      </w:r>
      <w:r>
        <w:t xml:space="preserve"> </w:t>
      </w:r>
      <w:r>
        <w:t xml:space="preserve">passenger), as they are required to carry AIS transceivers, but also include</w:t>
      </w:r>
      <w:r>
        <w:t xml:space="preserve"> </w:t>
      </w:r>
      <w:r>
        <w:t xml:space="preserve">data from fishing, high-speed, pleasure and support classes. Shipping intensity</w:t>
      </w:r>
      <w:r>
        <w:t xml:space="preserve"> </w:t>
      </w:r>
      <w:r>
        <w:t xml:space="preserve">was evaluated as the number of fishing tracks at a 0.1 decimal degrees resolution.</w:t>
      </w:r>
      <w:r>
        <w:t xml:space="preserve"> </w:t>
      </w:r>
      <w:r>
        <w:t xml:space="preserve">For more details on data and methods used, consult</w:t>
      </w:r>
      <w:r>
        <w:t xml:space="preserve"> </w:t>
      </w:r>
      <w:r>
        <w:t xml:space="preserve">(Walbridge,</w:t>
      </w:r>
      <w:r>
        <w:t xml:space="preserve"> </w:t>
      </w:r>
      <w:hyperlink w:anchor="ref-walbridge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For the St. Lawrence, we overlaid the raw data layers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with our</w:t>
      </w:r>
      <w:r>
        <w:t xml:space="preserve"> </w:t>
      </w:r>
      <w:r>
        <w:t xml:space="preserve">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grid cell using weighted area average.</w:t>
      </w:r>
    </w:p>
    <w:p>
      <w:pPr>
        <w:pStyle w:val="Heading3"/>
      </w:pPr>
      <w:bookmarkStart w:id="39" w:name="invasive-species"/>
      <w:r>
        <w:t xml:space="preserve">Invasive species</w:t>
      </w:r>
      <w:bookmarkEnd w:id="39"/>
    </w:p>
    <w:p>
      <w:pPr>
        <w:pStyle w:val="FirstParagraph"/>
      </w:pPr>
      <w:r>
        <w:t xml:space="preserve">The data used to characterize invasive species risk comes from the global</w:t>
      </w:r>
      <w:r>
        <w:t xml:space="preserve"> </w:t>
      </w:r>
      <w:r>
        <w:t xml:space="preserve">cumulative impacts assessment on habitats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a">
        <w:r>
          <w:rPr>
            <w:rStyle w:val="Hyperlink"/>
          </w:rPr>
          <w:t xml:space="preserve">2015</w:t>
        </w:r>
      </w:hyperlink>
      <w:hyperlink w:anchor="ref-halpern2015a">
        <w:r>
          <w:rPr>
            <w:rStyle w:val="Hyperlink"/>
          </w:rPr>
          <w:t xml:space="preserve">b</w:t>
        </w:r>
      </w:hyperlink>
      <w:r>
        <w:t xml:space="preserve">,</w:t>
      </w:r>
      <w:r>
        <w:t xml:space="preserve"> 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available on the NCEAS online data repository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 We provide a</w:t>
      </w:r>
      <w:r>
        <w:t xml:space="preserve"> </w:t>
      </w:r>
      <w:r>
        <w:t xml:space="preserve">brief summary of data and methods in this document. For more details, refer to</w:t>
      </w:r>
      <w:r>
        <w:t xml:space="preserve"> </w:t>
      </w:r>
      <w:r>
        <w:t xml:space="preserve">supplementary materials provided in</w:t>
      </w:r>
      <w:r>
        <w:t xml:space="preserve"> </w:t>
      </w:r>
      <w:r>
        <w:t xml:space="preserve">Halpern et al. (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Cargo volume was used as a proxy of invasion risk under the assumption that</w:t>
      </w:r>
      <w:r>
        <w:t xml:space="preserve"> </w:t>
      </w:r>
      <w:r>
        <w:t xml:space="preserve">risk of invasion is proportional to tonnes of goods transferred through ports.</w:t>
      </w:r>
      <w:r>
        <w:t xml:space="preserve"> </w:t>
      </w:r>
      <w:r>
        <w:t xml:space="preserve">Cargo throughput in metric tonnes for the year 2011 was accessed through a</w:t>
      </w:r>
      <w:r>
        <w:t xml:space="preserve"> </w:t>
      </w:r>
      <w:r>
        <w:t xml:space="preserve">variety of sources</w:t>
      </w:r>
      <w:r>
        <w:t xml:space="preserve"> </w:t>
      </w:r>
      <w:r>
        <w:t xml:space="preserve">(see supplementary material in 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 </w:t>
      </w:r>
      <w:r>
        <w:t xml:space="preserve">for more details)</w:t>
      </w:r>
      <w:r>
        <w:t xml:space="preserve"> </w:t>
      </w:r>
      <w:r>
        <w:t xml:space="preserve">and cross-matched with entries in the World Port Index database (WPI; available</w:t>
      </w:r>
      <w:r>
        <w:t xml:space="preserve"> </w:t>
      </w:r>
      <w:r>
        <w:t xml:space="preserve">from the National Geospatial-Intelligence Agency). A gap-filling procedure</w:t>
      </w:r>
      <w:r>
        <w:t xml:space="preserve"> </w:t>
      </w:r>
      <w:r>
        <w:t xml:space="preserve">using linear regression and sets of predictors related to port volume and</w:t>
      </w:r>
      <w:r>
        <w:t xml:space="preserve"> </w:t>
      </w:r>
      <w:r>
        <w:t xml:space="preserve">available in the WPI dataset was then applied to the WPI dataset to predict</w:t>
      </w:r>
      <w:r>
        <w:t xml:space="preserve"> </w:t>
      </w:r>
      <w:r>
        <w:t xml:space="preserve">missing cargo volume entries. Finally, volume data was distributed in marine</w:t>
      </w:r>
      <w:r>
        <w:t xml:space="preserve"> </w:t>
      </w:r>
      <w:r>
        <w:t xml:space="preserve">environments adjacent to ports using a diffusive plume model with an exponential</w:t>
      </w:r>
      <w:r>
        <w:t xml:space="preserve"> </w:t>
      </w:r>
      <w:r>
        <w:t xml:space="preserve">decay function that set the maximum spread distance to approximately 1000 km.</w:t>
      </w:r>
      <w:r>
        <w:t xml:space="preserve"> </w:t>
      </w:r>
      <w:r>
        <w:t xml:space="preserve">The plume model was then clipped to areas less than 60 m deep, as</w:t>
      </w:r>
      <w:r>
        <w:t xml:space="preserve"> </w:t>
      </w:r>
      <w:r>
        <w:t xml:space="preserve">invasives species are more likely to invade shallow areas.</w:t>
      </w:r>
    </w:p>
    <w:p>
      <w:pPr>
        <w:pStyle w:val="BodyText"/>
      </w:pPr>
      <w:r>
        <w:t xml:space="preserve">For the St. Lawrence, we overlaid the raw data layers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with our</w:t>
      </w:r>
      <w:r>
        <w:t xml:space="preserve"> </w:t>
      </w:r>
      <w:r>
        <w:t xml:space="preserve">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grid cell using weighted area average.</w:t>
      </w:r>
    </w:p>
    <w:p>
      <w:pPr>
        <w:pStyle w:val="Heading3"/>
      </w:pPr>
      <w:bookmarkStart w:id="40" w:name="marine-pollution"/>
      <w:r>
        <w:t xml:space="preserve">Marine pollution</w:t>
      </w:r>
      <w:bookmarkEnd w:id="40"/>
    </w:p>
    <w:p>
      <w:pPr>
        <w:pStyle w:val="FirstParagraph"/>
      </w:pPr>
      <w:r>
        <w:t xml:space="preserve">The data used to characterize marine pollution risk comes from the global</w:t>
      </w:r>
      <w:r>
        <w:t xml:space="preserve"> </w:t>
      </w:r>
      <w:r>
        <w:t xml:space="preserve">cumulative impacts assessment on habitats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a">
        <w:r>
          <w:rPr>
            <w:rStyle w:val="Hyperlink"/>
          </w:rPr>
          <w:t xml:space="preserve">2015</w:t>
        </w:r>
      </w:hyperlink>
      <w:hyperlink w:anchor="ref-halpern2015a">
        <w:r>
          <w:rPr>
            <w:rStyle w:val="Hyperlink"/>
          </w:rPr>
          <w:t xml:space="preserve">b</w:t>
        </w:r>
      </w:hyperlink>
      <w:r>
        <w:t xml:space="preserve">,</w:t>
      </w:r>
      <w:r>
        <w:t xml:space="preserve"> 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available on the NCEAS online data repository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Marine pollution was considered to be mainly driver by the shipping industry.</w:t>
      </w:r>
      <w:r>
        <w:t xml:space="preserve"> </w:t>
      </w:r>
      <w:r>
        <w:t xml:space="preserve">As such, the driver layer was constructed by combining the shipping (</w:t>
      </w:r>
      <w:r>
        <w:rPr>
          <w:i/>
        </w:rPr>
        <w:t xml:space="preserve">i.e.</w:t>
      </w:r>
      <w:r>
        <w:t xml:space="preserve"> </w:t>
      </w:r>
      <w:r>
        <w:t xml:space="preserve">shipping lanes) and invasives species (</w:t>
      </w:r>
      <w:r>
        <w:rPr>
          <w:i/>
        </w:rPr>
        <w:t xml:space="preserve">i.e.</w:t>
      </w:r>
      <w:r>
        <w:t xml:space="preserve"> </w:t>
      </w:r>
      <w:r>
        <w:t xml:space="preserve">cargo volume) layers.</w:t>
      </w:r>
      <w:r>
        <w:t xml:space="preserve"> </w:t>
      </w:r>
      <w:r>
        <w:t xml:space="preserve">invasive. For more details, refer to supplementary materials provided in</w:t>
      </w:r>
      <w:r>
        <w:t xml:space="preserve"> </w:t>
      </w:r>
      <w:r>
        <w:t xml:space="preserve">Halpern et al. (</w:t>
      </w:r>
      <w:hyperlink w:anchor="ref-halpern2008a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Halpern et al. (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For the St. Lawrence, we overlaid the raw data layers</w:t>
      </w:r>
      <w:r>
        <w:t xml:space="preserve"> </w:t>
      </w:r>
      <w:r>
        <w:t xml:space="preserve">(Halpern et al.,</w:t>
      </w:r>
      <w:r>
        <w:t xml:space="preserve"> </w:t>
      </w:r>
      <w:hyperlink w:anchor="ref-halpern2015">
        <w:r>
          <w:rPr>
            <w:rStyle w:val="Hyperlink"/>
          </w:rPr>
          <w:t xml:space="preserve">2015</w:t>
        </w:r>
      </w:hyperlink>
      <w:hyperlink w:anchor="ref-halpern2015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with our</w:t>
      </w:r>
      <w:r>
        <w:t xml:space="preserve"> </w:t>
      </w:r>
      <w:r>
        <w:t xml:space="preserve">1</w:t>
      </w:r>
      <w:r>
        <w:t xml:space="preserve"> </w:t>
      </w:r>
      <m:oMath>
        <m:r>
          <m:t>k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grid cell using weighted area average.</w:t>
      </w:r>
    </w:p>
    <w:p>
      <w:pPr>
        <w:pStyle w:val="Heading1"/>
      </w:pPr>
      <w:bookmarkStart w:id="41" w:name="driver-intensity-and-distribution"/>
      <w:r>
        <w:t xml:space="preserve">Driver intensity and distribution</w:t>
      </w:r>
      <w:bookmarkEnd w:id="41"/>
    </w:p>
    <w:p>
      <w:pPr>
        <w:pStyle w:val="FirstParagraph"/>
      </w:pPr>
      <w:r>
        <w:t xml:space="preserve">We evaluated the frequency distribution of each drivers to verify whether data</w:t>
      </w:r>
      <w:r>
        <w:t xml:space="preserve"> </w:t>
      </w:r>
      <w:r>
        <w:t xml:space="preserve">should be transformed (Figure S</w:t>
      </w:r>
      <w:r>
        <w:t xml:space="preserve">). In light of this, we log-transformed</w:t>
      </w:r>
      <w:r>
        <w:t xml:space="preserve"> </w:t>
      </w:r>
      <w:r>
        <w:t xml:space="preserve">the following driver layers</w:t>
      </w:r>
    </w:p>
    <w:p>
      <w:pPr>
        <w:pStyle w:val="Compact"/>
        <w:numPr>
          <w:numId w:val="1001"/>
          <w:ilvl w:val="0"/>
        </w:numPr>
      </w:pPr>
      <w:r>
        <w:t xml:space="preserve">Coastal development</w:t>
      </w:r>
    </w:p>
    <w:p>
      <w:pPr>
        <w:pStyle w:val="Compact"/>
        <w:numPr>
          <w:numId w:val="1001"/>
          <w:ilvl w:val="0"/>
        </w:numPr>
      </w:pPr>
      <w:r>
        <w:t xml:space="preserve">Direct human impact</w:t>
      </w:r>
    </w:p>
    <w:p>
      <w:pPr>
        <w:pStyle w:val="Compact"/>
        <w:numPr>
          <w:numId w:val="1001"/>
          <w:ilvl w:val="0"/>
        </w:numPr>
      </w:pPr>
      <w:r>
        <w:t xml:space="preserve">All fisheries data</w:t>
      </w:r>
    </w:p>
    <w:p>
      <w:pPr>
        <w:pStyle w:val="Compact"/>
        <w:numPr>
          <w:numId w:val="1001"/>
          <w:ilvl w:val="0"/>
        </w:numPr>
      </w:pPr>
      <w:r>
        <w:t xml:space="preserve">Hypoxia</w:t>
      </w:r>
    </w:p>
    <w:p>
      <w:pPr>
        <w:pStyle w:val="Compact"/>
        <w:numPr>
          <w:numId w:val="1001"/>
          <w:ilvl w:val="0"/>
        </w:numPr>
      </w:pPr>
      <w:r>
        <w:t xml:space="preserve">Inorganic pollution</w:t>
      </w:r>
    </w:p>
    <w:p>
      <w:pPr>
        <w:pStyle w:val="Compact"/>
        <w:numPr>
          <w:numId w:val="1001"/>
          <w:ilvl w:val="0"/>
        </w:numPr>
      </w:pPr>
      <w:r>
        <w:t xml:space="preserve">Invasive species</w:t>
      </w:r>
    </w:p>
    <w:p>
      <w:pPr>
        <w:pStyle w:val="Compact"/>
        <w:numPr>
          <w:numId w:val="1001"/>
          <w:ilvl w:val="0"/>
        </w:numPr>
      </w:pPr>
      <w:r>
        <w:t xml:space="preserve">Nutrient pollution</w:t>
      </w:r>
    </w:p>
    <w:p>
      <w:pPr>
        <w:pStyle w:val="Compact"/>
        <w:numPr>
          <w:numId w:val="1001"/>
          <w:ilvl w:val="0"/>
        </w:numPr>
      </w:pPr>
      <w:r>
        <w:t xml:space="preserve">Organic pollution</w:t>
      </w:r>
    </w:p>
    <w:p>
      <w:pPr>
        <w:pStyle w:val="Compact"/>
        <w:numPr>
          <w:numId w:val="1001"/>
          <w:ilvl w:val="0"/>
        </w:numPr>
      </w:pPr>
      <w:r>
        <w:t xml:space="preserve">Sea bottom temperature anomalies</w:t>
      </w:r>
    </w:p>
    <w:p>
      <w:pPr>
        <w:pStyle w:val="Compact"/>
        <w:numPr>
          <w:numId w:val="1001"/>
          <w:ilvl w:val="0"/>
        </w:numPr>
      </w:pPr>
      <w:r>
        <w:t xml:space="preserve">Shipping</w:t>
      </w:r>
    </w:p>
    <w:p>
      <w:pPr>
        <w:pStyle w:val="FirstParagraph"/>
      </w:pPr>
      <w:r>
        <w:t xml:space="preserve">To allow for relative intensity comparison, all driver layers were subsequently</w:t>
      </w:r>
      <w:r>
        <w:t xml:space="preserve"> </w:t>
      </w:r>
      <w:r>
        <w:t xml:space="preserve">normalized between 0 and 1 using the 99th quantile to further control for</w:t>
      </w:r>
      <w:r>
        <w:t xml:space="preserve"> </w:t>
      </w:r>
      <w:r>
        <w:t xml:space="preserve">extreme values (Figure S</w:t>
      </w:r>
      <w:r>
        <w:t xml:space="preserve">).</w:t>
      </w:r>
    </w:p>
    <w:p>
      <w:pPr>
        <w:pStyle w:val="Heading1"/>
      </w:pPr>
      <w:bookmarkStart w:id="42" w:name="cumulative-exposure"/>
      <w:r>
        <w:t xml:space="preserve">Cumulative exposure</w:t>
      </w:r>
      <w:bookmarkEnd w:id="42"/>
    </w:p>
    <w:p>
      <w:pPr>
        <w:pStyle w:val="Heading1"/>
      </w:pPr>
      <w:bookmarkStart w:id="43" w:name="threat-complexes"/>
      <w:r>
        <w:t xml:space="preserve">Threat complexes</w:t>
      </w:r>
      <w:bookmarkEnd w:id="43"/>
    </w:p>
    <w:p>
      <w:pPr>
        <w:pStyle w:val="Heading2"/>
      </w:pPr>
      <w:bookmarkStart w:id="44" w:name="clustering"/>
      <w:r>
        <w:t xml:space="preserve">Clustering</w:t>
      </w:r>
      <w:bookmarkEnd w:id="44"/>
    </w:p>
    <w:p>
      <w:pPr>
        <w:pStyle w:val="Heading2"/>
      </w:pPr>
      <w:bookmarkStart w:id="45" w:name="inter-cluster-dissimilarity"/>
      <w:r>
        <w:t xml:space="preserve">Inter-cluster dissimilarity</w:t>
      </w:r>
      <w:bookmarkEnd w:id="45"/>
    </w:p>
    <w:p>
      <w:pPr>
        <w:pStyle w:val="Heading2"/>
      </w:pPr>
      <w:bookmarkStart w:id="46" w:name="intra-cluster-similarity"/>
      <w:r>
        <w:t xml:space="preserve">Intra-cluster similarity</w:t>
      </w:r>
      <w:bookmarkEnd w:id="46"/>
    </w:p>
    <w:p>
      <w:pPr>
        <w:pStyle w:val="Heading1"/>
      </w:pPr>
      <w:bookmarkStart w:id="47" w:name="references"/>
      <w:r>
        <w:t xml:space="preserve">References</w:t>
      </w:r>
      <w:bookmarkEnd w:id="47"/>
    </w:p>
    <w:bookmarkStart w:id="89" w:name="refs"/>
    <w:bookmarkStart w:id="48" w:name="ref-aaf2016"/>
    <w:p>
      <w:pPr>
        <w:pStyle w:val="Bibliography"/>
      </w:pPr>
      <w:r>
        <w:t xml:space="preserve">AAF (2016). Marine Aquaculture Site Mapping Program (MASMP). Department of Agriculture, Aquaculture and Fisheries (AAF), Government of New-Brunswick, New-Brunswick, Canada. Available at: https://www2.gnb.ca/content/gnb/en/departments/10/aquaculture /content/masmp.html.</w:t>
      </w:r>
    </w:p>
    <w:bookmarkEnd w:id="48"/>
    <w:bookmarkStart w:id="49" w:name="ref-bates2019"/>
    <w:p>
      <w:pPr>
        <w:pStyle w:val="Bibliography"/>
      </w:pPr>
      <w:r>
        <w:t xml:space="preserve">Bates (2019). Reference to come, toxic algae. Department of Fisheries and Oceans.</w:t>
      </w:r>
    </w:p>
    <w:bookmarkEnd w:id="49"/>
    <w:bookmarkStart w:id="50" w:name="ref-blais2019"/>
    <w:p>
      <w:pPr>
        <w:pStyle w:val="Bibliography"/>
      </w:pPr>
      <w:r>
        <w:t xml:space="preserve">Blais, M., Galbraith, P. S., Plourde, S., Scarratt, M., Devine, L., and Lehoux, C. (2019). Chemical and Biological Oceanographic Conditions in the Estuary and Gulf of St. Lawrence during 2017. DFO Can. Sci. Advis. Sec. Res. Doc. 2019/009. Iv + 56 p.</w:t>
      </w:r>
    </w:p>
    <w:bookmarkEnd w:id="50"/>
    <w:bookmarkStart w:id="52" w:name="ref-bove2019"/>
    <w:p>
      <w:pPr>
        <w:pStyle w:val="Bibliography"/>
      </w:pPr>
      <w:r>
        <w:t xml:space="preserve">Bove, C. B., Ries, J. B., Davies, S. W., Westfield, I. T., Umbanhowar, J., and Castillo, K. D. (2019). Common Caribbean corals exhibit highly variable responses to future acidification and warming.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286, 20182840. doi:</w:t>
      </w:r>
      <w:hyperlink r:id="rId51">
        <w:r>
          <w:rPr>
            <w:rStyle w:val="Hyperlink"/>
          </w:rPr>
          <w:t xml:space="preserve">10.1098/rspb.2018.2840</w:t>
        </w:r>
      </w:hyperlink>
      <w:r>
        <w:t xml:space="preserve">.</w:t>
      </w:r>
    </w:p>
    <w:bookmarkEnd w:id="52"/>
    <w:bookmarkStart w:id="54" w:name="ref-chabot2008"/>
    <w:p>
      <w:pPr>
        <w:pStyle w:val="Bibliography"/>
      </w:pPr>
      <w:r>
        <w:t xml:space="preserve">Chabot, D., and Claireaux, G. (2008). Environmental hypoxia as a metabolic constraint on fish: The case of Atlantic cod, Gadus morhua.</w:t>
      </w:r>
      <w:r>
        <w:t xml:space="preserve"> </w:t>
      </w:r>
      <w:r>
        <w:rPr>
          <w:i/>
        </w:rPr>
        <w:t xml:space="preserve">Marine Pollution Bulletin</w:t>
      </w:r>
      <w:r>
        <w:t xml:space="preserve"> </w:t>
      </w:r>
      <w:r>
        <w:t xml:space="preserve">57, 287–294. doi:</w:t>
      </w:r>
      <w:hyperlink r:id="rId53">
        <w:r>
          <w:rPr>
            <w:rStyle w:val="Hyperlink"/>
          </w:rPr>
          <w:t xml:space="preserve">10.1016/j.marpolbul.2008.04.001</w:t>
        </w:r>
      </w:hyperlink>
      <w:r>
        <w:t xml:space="preserve">.</w:t>
      </w:r>
    </w:p>
    <w:bookmarkEnd w:id="54"/>
    <w:bookmarkStart w:id="55" w:name="ref-dfo2016a"/>
    <w:p>
      <w:pPr>
        <w:pStyle w:val="Bibliography"/>
      </w:pPr>
      <w:r>
        <w:t xml:space="preserve">DFO (2016a). Prince Edward Island Aquaculture Leases. Aquaculture Division. Department of Fisheries and Oceans Canada (DFO). Prince-Edward-Island, Canada. Available at: http://www.arcgis.com/home/item.html?id=16aa8830c7084a8a92ce066b525978b4.</w:t>
      </w:r>
    </w:p>
    <w:bookmarkEnd w:id="55"/>
    <w:bookmarkStart w:id="56" w:name="ref-dfo2016"/>
    <w:p>
      <w:pPr>
        <w:pStyle w:val="Bibliography"/>
      </w:pPr>
      <w:r>
        <w:t xml:space="preserve">DFO (2016b). Zonal Interchange File Format (ZIFF) data. A compilation of landing data from logbook data between 2010 and 2015. Gestion des données, Institut Maurice Lamontagne, Department of Fisheries and Oceans (DFO) Mont-Joli, Canada.</w:t>
      </w:r>
    </w:p>
    <w:bookmarkEnd w:id="56"/>
    <w:bookmarkStart w:id="57" w:name="ref-diaz1995"/>
    <w:p>
      <w:pPr>
        <w:pStyle w:val="Bibliography"/>
      </w:pPr>
      <w:r>
        <w:t xml:space="preserve">Diaz, R. J., and Rosenberg, R. (1995). Marine benthic hypoxia: A review of its ecological effects and the behavioural responses of benthic macrofauna.</w:t>
      </w:r>
      <w:r>
        <w:t xml:space="preserve"> </w:t>
      </w:r>
      <w:r>
        <w:rPr>
          <w:i/>
        </w:rPr>
        <w:t xml:space="preserve">Oceanography and Marine Biology. An annual review</w:t>
      </w:r>
      <w:r>
        <w:t xml:space="preserve"> </w:t>
      </w:r>
      <w:r>
        <w:t xml:space="preserve">33, 245–303.</w:t>
      </w:r>
    </w:p>
    <w:bookmarkEnd w:id="57"/>
    <w:bookmarkStart w:id="58" w:name="ref-dutil2011"/>
    <w:p>
      <w:pPr>
        <w:pStyle w:val="Bibliography"/>
      </w:pPr>
      <w:r>
        <w:t xml:space="preserve">Dutil, J.-D., Proulx, S., Chouinard, P.-M., and Borcard, D. (2011). A hierarchical classification of the seabed based on physiographic and oceanographic features in the St. Lawrence. Can. Tech. Rep. Fish. Aquat. Sci. 2916: Vii + 72 p.</w:t>
      </w:r>
    </w:p>
    <w:bookmarkEnd w:id="58"/>
    <w:bookmarkStart w:id="59" w:name="ref-dutil2012"/>
    <w:p>
      <w:pPr>
        <w:pStyle w:val="Bibliography"/>
      </w:pPr>
      <w:r>
        <w:t xml:space="preserve">Dutil, J.-D., Proulx, S., Galbraith, P. S., Chassé, J., Lambert, N., and Laurian, C. (2012). Coastal and epipelagic habitats of the estuary and Gulf of St. Lawrence. Can. Tech. Rep. Fish. Aquat. Sci. 3009: Ix + 87 pp.</w:t>
      </w:r>
    </w:p>
    <w:bookmarkEnd w:id="59"/>
    <w:bookmarkStart w:id="60" w:name="ref-earthobservationgroup2019"/>
    <w:p>
      <w:pPr>
        <w:pStyle w:val="Bibliography"/>
      </w:pPr>
      <w:r>
        <w:t xml:space="preserve">Earth observation group (2019). Version 1 VIIRS Day/Night Band Nighttime Lights. NOAA National Centers for Environmental Information (NCEI).</w:t>
      </w:r>
    </w:p>
    <w:bookmarkEnd w:id="60"/>
    <w:bookmarkStart w:id="61" w:name="ref-fa2016"/>
    <w:p>
      <w:pPr>
        <w:pStyle w:val="Bibliography"/>
      </w:pPr>
      <w:r>
        <w:t xml:space="preserve">FA (2016). Aquaculture Site Mapping Tool. Department of Fisheries and Aquaculture (FA), Department of Agriculture, Government of Nova-Scotia. Nova-Scotia, Canada. Available at: https://novascotia.ca/fish/aquaculture/site-mapping-tool/.</w:t>
      </w:r>
    </w:p>
    <w:bookmarkEnd w:id="61"/>
    <w:bookmarkStart w:id="63" w:name="ref-fabry2008"/>
    <w:p>
      <w:pPr>
        <w:pStyle w:val="Bibliography"/>
      </w:pPr>
      <w:r>
        <w:t xml:space="preserve">Fabry, V. J., Seibel, B. A., Feely, R. A., and Orr, J. C. (2008). Impacts of ocean acidification on marine fauna and ecosystem processes.</w:t>
      </w:r>
      <w:r>
        <w:t xml:space="preserve"> </w:t>
      </w:r>
      <w:r>
        <w:rPr>
          <w:i/>
        </w:rPr>
        <w:t xml:space="preserve">ICES Journal of Marine Science</w:t>
      </w:r>
      <w:r>
        <w:t xml:space="preserve"> </w:t>
      </w:r>
      <w:r>
        <w:t xml:space="preserve">65, 414–432. doi:</w:t>
      </w:r>
      <w:hyperlink r:id="rId62">
        <w:r>
          <w:rPr>
            <w:rStyle w:val="Hyperlink"/>
          </w:rPr>
          <w:t xml:space="preserve">10.1093/icesjms/fsn048</w:t>
        </w:r>
      </w:hyperlink>
      <w:r>
        <w:t xml:space="preserve">.</w:t>
      </w:r>
    </w:p>
    <w:bookmarkEnd w:id="63"/>
    <w:bookmarkStart w:id="64" w:name="ref-ffa2016"/>
    <w:p>
      <w:pPr>
        <w:pStyle w:val="Bibliography"/>
      </w:pPr>
      <w:r>
        <w:t xml:space="preserve">FFA (2016). Description of aquaculture sites in Newfoundland. Department of Fisheries, Forestry and Agrifoods (FFA), Government of Newfoundland and Labrador. Newfoundland, Canada.</w:t>
      </w:r>
    </w:p>
    <w:bookmarkEnd w:id="64"/>
    <w:bookmarkStart w:id="65" w:name="ref-galbraith2018"/>
    <w:p>
      <w:pPr>
        <w:pStyle w:val="Bibliography"/>
      </w:pPr>
      <w:r>
        <w:t xml:space="preserve">Galbraith, P. S., Chassé, J., Caverhill, C., Nicot, P., Gilbert, D., Lefaivre, D., et al. (2018). Physical Oceanographic Conditions in the Gulf of St. Lawrence during 2017. DFO Can. Sci. Advis. Sec. Res. Doc. 2018/050. V + 79 p.</w:t>
      </w:r>
    </w:p>
    <w:bookmarkEnd w:id="65"/>
    <w:bookmarkStart w:id="67" w:name="ref-halpern2015"/>
    <w:p>
      <w:pPr>
        <w:pStyle w:val="Bibliography"/>
      </w:pPr>
      <w:r>
        <w:t xml:space="preserve">Halpern, B. S., Frazier, M., Potapenko, J., Casey, K. S., Koenig, K., Longo, C., et al. (2015a). Cumulative human impacts: Raw stressor data (2008 and 2013). Knowledge Network for Biocomplexity. doi:</w:t>
      </w:r>
      <w:hyperlink r:id="rId66">
        <w:r>
          <w:rPr>
            <w:rStyle w:val="Hyperlink"/>
          </w:rPr>
          <w:t xml:space="preserve">10.5063/f1s180fs</w:t>
        </w:r>
      </w:hyperlink>
      <w:r>
        <w:t xml:space="preserve">.</w:t>
      </w:r>
    </w:p>
    <w:bookmarkEnd w:id="67"/>
    <w:bookmarkStart w:id="69" w:name="ref-halpern2015a"/>
    <w:p>
      <w:pPr>
        <w:pStyle w:val="Bibliography"/>
      </w:pPr>
      <w:r>
        <w:t xml:space="preserve">Halpern, B. S., Frazier, M., Potapenko, J., Casey, K. S., Koenig, K., Longo, C., et al. (2015b). Spatial and temporal changes in cumulative human impacts on the world’s ocean.</w:t>
      </w:r>
      <w:r>
        <w:t xml:space="preserve"> </w:t>
      </w:r>
      <w:r>
        <w:rPr>
          <w:i/>
        </w:rPr>
        <w:t xml:space="preserve">Nature Communications</w:t>
      </w:r>
      <w:r>
        <w:t xml:space="preserve"> </w:t>
      </w:r>
      <w:r>
        <w:t xml:space="preserve">6. doi:</w:t>
      </w:r>
      <w:hyperlink r:id="rId68">
        <w:r>
          <w:rPr>
            <w:rStyle w:val="Hyperlink"/>
          </w:rPr>
          <w:t xml:space="preserve">10.1038/ncomms8615</w:t>
        </w:r>
      </w:hyperlink>
      <w:r>
        <w:t xml:space="preserve">.</w:t>
      </w:r>
    </w:p>
    <w:bookmarkEnd w:id="69"/>
    <w:bookmarkStart w:id="71" w:name="ref-halpern2008a"/>
    <w:p>
      <w:pPr>
        <w:pStyle w:val="Bibliography"/>
      </w:pPr>
      <w:r>
        <w:t xml:space="preserve">Halpern, B. S., Walbridge, S., Selkoe, K. A., Kappel, C. V., Micheli, F., D’Agrosa, C., et al. (2008). A Global Map of Human Impact on Marine Ecosystems.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319, 948–952. doi:</w:t>
      </w:r>
      <w:hyperlink r:id="rId70">
        <w:r>
          <w:rPr>
            <w:rStyle w:val="Hyperlink"/>
          </w:rPr>
          <w:t xml:space="preserve">10.1126/science.1149345</w:t>
        </w:r>
      </w:hyperlink>
      <w:r>
        <w:t xml:space="preserve">.</w:t>
      </w:r>
    </w:p>
    <w:bookmarkEnd w:id="71"/>
    <w:bookmarkStart w:id="72" w:name="ref-kleypas2006"/>
    <w:p>
      <w:pPr>
        <w:pStyle w:val="Bibliography"/>
      </w:pPr>
      <w:r>
        <w:t xml:space="preserve">Kleypas, J. A., Feely, R. A., Fabry, V. J., Langdon, C., Sabine, C. L., and Robbins, L. L. (2006). Impacts of Ocean Acidification on Coral Reefs and Other Marine Calcifiers: A Guide for Future Research, report of a workshop held 1820 April 2005, St. Petersburg, FL, sponsored by NSF, NOAA, and the US Geological Survey, 88 pp.</w:t>
      </w:r>
    </w:p>
    <w:bookmarkEnd w:id="72"/>
    <w:bookmarkStart w:id="74" w:name="ref-kroeker2013"/>
    <w:p>
      <w:pPr>
        <w:pStyle w:val="Bibliography"/>
      </w:pPr>
      <w:r>
        <w:t xml:space="preserve">Kroeker, K. J., Kordas, R. L., Crim, R., Hendriks, I. E., Ramajo, L., Singh, G. S., et al. (2013). Impacts of ocean acidification on marine organisms: Quantifying sensitivities and interaction with warming.</w:t>
      </w:r>
      <w:r>
        <w:t xml:space="preserve"> </w:t>
      </w:r>
      <w:r>
        <w:rPr>
          <w:i/>
        </w:rPr>
        <w:t xml:space="preserve">Global Change Biology</w:t>
      </w:r>
      <w:r>
        <w:t xml:space="preserve"> </w:t>
      </w:r>
      <w:r>
        <w:t xml:space="preserve">19, 1884–1896. doi:</w:t>
      </w:r>
      <w:hyperlink r:id="rId73">
        <w:r>
          <w:rPr>
            <w:rStyle w:val="Hyperlink"/>
          </w:rPr>
          <w:t xml:space="preserve">10.1111/gcb.12179</w:t>
        </w:r>
      </w:hyperlink>
      <w:r>
        <w:t xml:space="preserve">.</w:t>
      </w:r>
    </w:p>
    <w:bookmarkEnd w:id="74"/>
    <w:bookmarkStart w:id="75" w:name="ref-mapaq2016"/>
    <w:p>
      <w:pPr>
        <w:pStyle w:val="Bibliography"/>
      </w:pPr>
      <w:r>
        <w:t xml:space="preserve">MAPAQ (2016). Description des sites maricoles de la province de Québec. Sous-ministériat aux pêches et à l’aquaculture commerciales, Direction régionale des Îles-de-la-Madeleine. Ministère de l’Agriculture, des Pêcheries et de l’Alimentation du Québec (MAPAQ). Québec, Canada.</w:t>
      </w:r>
    </w:p>
    <w:bookmarkEnd w:id="75"/>
    <w:bookmarkStart w:id="77" w:name="ref-mucci2017"/>
    <w:p>
      <w:pPr>
        <w:pStyle w:val="Bibliography"/>
      </w:pPr>
      <w:r>
        <w:t xml:space="preserve">Mucci, A., Levasseur, M., Gratton, Y., Martias, C., Scarratt, M., Gilbert, D., et al. (2017). Tidally induced variations of pH at the head of the Laurentian Channel.</w:t>
      </w:r>
      <w:r>
        <w:t xml:space="preserve"> </w:t>
      </w:r>
      <w:r>
        <w:rPr>
          <w:i/>
        </w:rPr>
        <w:t xml:space="preserve">Canadian Journal of Fisheries and Aquatic Sciences</w:t>
      </w:r>
      <w:r>
        <w:t xml:space="preserve"> </w:t>
      </w:r>
      <w:r>
        <w:t xml:space="preserve">75, 1128–1141. doi:</w:t>
      </w:r>
      <w:hyperlink r:id="rId76">
        <w:r>
          <w:rPr>
            <w:rStyle w:val="Hyperlink"/>
          </w:rPr>
          <w:t xml:space="preserve">10.1139/cjfas-2017-0007</w:t>
        </w:r>
      </w:hyperlink>
      <w:r>
        <w:t xml:space="preserve">.</w:t>
      </w:r>
    </w:p>
    <w:bookmarkEnd w:id="77"/>
    <w:bookmarkStart w:id="79" w:name="ref-mucci2011"/>
    <w:p>
      <w:pPr>
        <w:pStyle w:val="Bibliography"/>
      </w:pPr>
      <w:r>
        <w:t xml:space="preserve">Mucci, A., Starr, M., Gilbert, D., and Sundby, B. (2011). Acidification of Lower St. Lawrence Estuary Bottom Waters.</w:t>
      </w:r>
      <w:r>
        <w:t xml:space="preserve"> </w:t>
      </w:r>
      <w:r>
        <w:rPr>
          <w:i/>
        </w:rPr>
        <w:t xml:space="preserve">Atmosphere-Ocean</w:t>
      </w:r>
      <w:r>
        <w:t xml:space="preserve"> </w:t>
      </w:r>
      <w:r>
        <w:t xml:space="preserve">49, 206–218. doi:</w:t>
      </w:r>
      <w:hyperlink r:id="rId78">
        <w:r>
          <w:rPr>
            <w:rStyle w:val="Hyperlink"/>
          </w:rPr>
          <w:t xml:space="preserve">10.1080/07055900.2011.599265</w:t>
        </w:r>
      </w:hyperlink>
      <w:r>
        <w:t xml:space="preserve">.</w:t>
      </w:r>
    </w:p>
    <w:bookmarkEnd w:id="79"/>
    <w:bookmarkStart w:id="81" w:name="ref-nicholls2010"/>
    <w:p>
      <w:pPr>
        <w:pStyle w:val="Bibliography"/>
      </w:pPr>
      <w:r>
        <w:t xml:space="preserve">Nicholls, R. J., and Cazenave, A. (2010). Sea-Level Rise and Its Impact on Coastal Zones.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328, 1517–1520. doi:</w:t>
      </w:r>
      <w:hyperlink r:id="rId80">
        <w:r>
          <w:rPr>
            <w:rStyle w:val="Hyperlink"/>
          </w:rPr>
          <w:t xml:space="preserve">10.1126/science.1185782</w:t>
        </w:r>
      </w:hyperlink>
      <w:r>
        <w:t xml:space="preserve">.</w:t>
      </w:r>
    </w:p>
    <w:bookmarkEnd w:id="81"/>
    <w:bookmarkStart w:id="82" w:name="ref-starr2019"/>
    <w:p>
      <w:pPr>
        <w:pStyle w:val="Bibliography"/>
      </w:pPr>
      <w:r>
        <w:t xml:space="preserve">Starr, M. (2019). Reference to come, aragonite. Department of Fisheries and Oceans.</w:t>
      </w:r>
    </w:p>
    <w:bookmarkEnd w:id="82"/>
    <w:bookmarkStart w:id="83" w:name="ref-statistics-canada2017"/>
    <w:p>
      <w:pPr>
        <w:pStyle w:val="Bibliography"/>
      </w:pPr>
      <w:r>
        <w:t xml:space="preserve">Statistics-Canada (2017). Population and Dwelling Count Highlight Tables. 2016 Census. Statistics Canada Catalogue no. 98-402-X2016001. Ottawa. Released February 8, 2017. Statistics Canada.</w:t>
      </w:r>
    </w:p>
    <w:bookmarkEnd w:id="83"/>
    <w:bookmarkStart w:id="84" w:name="ref-tukey1977"/>
    <w:p>
      <w:pPr>
        <w:pStyle w:val="Bibliography"/>
      </w:pPr>
      <w:r>
        <w:t xml:space="preserve">Tukey, J. W. (1977).</w:t>
      </w:r>
      <w:r>
        <w:t xml:space="preserve"> </w:t>
      </w:r>
      <w:r>
        <w:rPr>
          <w:i/>
        </w:rPr>
        <w:t xml:space="preserve">Exploratory Data Analysis.</w:t>
      </w:r>
      <w:r>
        <w:t xml:space="preserve"> </w:t>
      </w:r>
      <w:r>
        <w:t xml:space="preserve">Reading, Massachusetts: Addison-Wesley.</w:t>
      </w:r>
    </w:p>
    <w:bookmarkEnd w:id="84"/>
    <w:bookmarkStart w:id="86" w:name="ref-uthicke2016"/>
    <w:p>
      <w:pPr>
        <w:pStyle w:val="Bibliography"/>
      </w:pPr>
      <w:r>
        <w:t xml:space="preserve">Uthicke, S., Ebert, T., Liddy, M., Johansson, C., Fabricius, K. E., and Lamare, M. (2016). Echinometra sea urchins acclimatized to elevated pCO2 at volcanic vents outperform those under present-day pCO2 conditions.</w:t>
      </w:r>
      <w:r>
        <w:t xml:space="preserve"> </w:t>
      </w:r>
      <w:r>
        <w:rPr>
          <w:i/>
        </w:rPr>
        <w:t xml:space="preserve">Global Change Biology</w:t>
      </w:r>
      <w:r>
        <w:t xml:space="preserve"> </w:t>
      </w:r>
      <w:r>
        <w:t xml:space="preserve">22, 2451–2461. doi:</w:t>
      </w:r>
      <w:hyperlink r:id="rId85">
        <w:r>
          <w:rPr>
            <w:rStyle w:val="Hyperlink"/>
          </w:rPr>
          <w:t xml:space="preserve">10.1111/gcb.13223</w:t>
        </w:r>
      </w:hyperlink>
      <w:r>
        <w:t xml:space="preserve">.</w:t>
      </w:r>
    </w:p>
    <w:bookmarkEnd w:id="86"/>
    <w:bookmarkStart w:id="87" w:name="ref-walbridge2013"/>
    <w:p>
      <w:pPr>
        <w:pStyle w:val="Bibliography"/>
      </w:pPr>
      <w:r>
        <w:t xml:space="preserve">Walbridge, S. (2013).</w:t>
      </w:r>
      <w:r>
        <w:t xml:space="preserve"> </w:t>
      </w:r>
      <w:r>
        <w:rPr>
          <w:i/>
        </w:rPr>
        <w:t xml:space="preserve">Assessing ship movements using volunteered geographic information</w:t>
      </w:r>
      <w:r>
        <w:t xml:space="preserve">. University of California, Santa Barbara.</w:t>
      </w:r>
    </w:p>
    <w:bookmarkEnd w:id="87"/>
    <w:bookmarkStart w:id="88" w:name="ref-zeebe2001"/>
    <w:p>
      <w:pPr>
        <w:pStyle w:val="Bibliography"/>
      </w:pPr>
      <w:r>
        <w:t xml:space="preserve">Zeebe, R. E., and Wolf-Gladrow, D. (2001).</w:t>
      </w:r>
      <w:r>
        <w:t xml:space="preserve"> </w:t>
      </w:r>
      <w:r>
        <w:rPr>
          <w:i/>
        </w:rPr>
        <w:t xml:space="preserve">CO2 in seawater: Equilibrium, kinetics, isotopes</w:t>
      </w:r>
      <w:r>
        <w:t xml:space="preserve">. Gulf Professional Publishing.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aviso.altimetry.fr/en/data/products/ocean-indicatorsproducts/mean-sea-level/products-images.html" TargetMode="External" /><Relationship Type="http://schemas.openxmlformats.org/officeDocument/2006/relationships/hyperlink" Id="rId53" Target="https://doi.org/10.1016/j.marpolbul.2008.04.001" TargetMode="External" /><Relationship Type="http://schemas.openxmlformats.org/officeDocument/2006/relationships/hyperlink" Id="rId68" Target="https://doi.org/10.1038/ncomms8615" TargetMode="External" /><Relationship Type="http://schemas.openxmlformats.org/officeDocument/2006/relationships/hyperlink" Id="rId78" Target="https://doi.org/10.1080/07055900.2011.599265" TargetMode="External" /><Relationship Type="http://schemas.openxmlformats.org/officeDocument/2006/relationships/hyperlink" Id="rId62" Target="https://doi.org/10.1093/icesjms/fsn048" TargetMode="External" /><Relationship Type="http://schemas.openxmlformats.org/officeDocument/2006/relationships/hyperlink" Id="rId51" Target="https://doi.org/10.1098/rspb.2018.2840" TargetMode="External" /><Relationship Type="http://schemas.openxmlformats.org/officeDocument/2006/relationships/hyperlink" Id="rId73" Target="https://doi.org/10.1111/gcb.12179" TargetMode="External" /><Relationship Type="http://schemas.openxmlformats.org/officeDocument/2006/relationships/hyperlink" Id="rId85" Target="https://doi.org/10.1111/gcb.13223" TargetMode="External" /><Relationship Type="http://schemas.openxmlformats.org/officeDocument/2006/relationships/hyperlink" Id="rId70" Target="https://doi.org/10.1126/science.1149345" TargetMode="External" /><Relationship Type="http://schemas.openxmlformats.org/officeDocument/2006/relationships/hyperlink" Id="rId80" Target="https://doi.org/10.1126/science.1185782" TargetMode="External" /><Relationship Type="http://schemas.openxmlformats.org/officeDocument/2006/relationships/hyperlink" Id="rId76" Target="https://doi.org/10.1139/cjfas-2017-0007" TargetMode="External" /><Relationship Type="http://schemas.openxmlformats.org/officeDocument/2006/relationships/hyperlink" Id="rId66" Target="https://doi.org/10.5063/f1s180f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aviso.altimetry.fr/en/data/products/ocean-indicatorsproducts/mean-sea-level/products-images.html" TargetMode="External" /><Relationship Type="http://schemas.openxmlformats.org/officeDocument/2006/relationships/hyperlink" Id="rId53" Target="https://doi.org/10.1016/j.marpolbul.2008.04.001" TargetMode="External" /><Relationship Type="http://schemas.openxmlformats.org/officeDocument/2006/relationships/hyperlink" Id="rId68" Target="https://doi.org/10.1038/ncomms8615" TargetMode="External" /><Relationship Type="http://schemas.openxmlformats.org/officeDocument/2006/relationships/hyperlink" Id="rId78" Target="https://doi.org/10.1080/07055900.2011.599265" TargetMode="External" /><Relationship Type="http://schemas.openxmlformats.org/officeDocument/2006/relationships/hyperlink" Id="rId62" Target="https://doi.org/10.1093/icesjms/fsn048" TargetMode="External" /><Relationship Type="http://schemas.openxmlformats.org/officeDocument/2006/relationships/hyperlink" Id="rId51" Target="https://doi.org/10.1098/rspb.2018.2840" TargetMode="External" /><Relationship Type="http://schemas.openxmlformats.org/officeDocument/2006/relationships/hyperlink" Id="rId73" Target="https://doi.org/10.1111/gcb.12179" TargetMode="External" /><Relationship Type="http://schemas.openxmlformats.org/officeDocument/2006/relationships/hyperlink" Id="rId85" Target="https://doi.org/10.1111/gcb.13223" TargetMode="External" /><Relationship Type="http://schemas.openxmlformats.org/officeDocument/2006/relationships/hyperlink" Id="rId70" Target="https://doi.org/10.1126/science.1149345" TargetMode="External" /><Relationship Type="http://schemas.openxmlformats.org/officeDocument/2006/relationships/hyperlink" Id="rId80" Target="https://doi.org/10.1126/science.1185782" TargetMode="External" /><Relationship Type="http://schemas.openxmlformats.org/officeDocument/2006/relationships/hyperlink" Id="rId76" Target="https://doi.org/10.1139/cjfas-2017-0007" TargetMode="External" /><Relationship Type="http://schemas.openxmlformats.org/officeDocument/2006/relationships/hyperlink" Id="rId66" Target="https://doi.org/10.5063/f1s180f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2019-04-29T17:43:40Z</dcterms:created>
  <dcterms:modified xsi:type="dcterms:W3CDTF">2019-04-29T17:43:40Z</dcterms:modified>
</cp:coreProperties>
</file>