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tblLayout w:type="fixed"/>
        <w:tblCellMar>
          <w:left w:w="0" w:type="dxa"/>
          <w:right w:w="0" w:type="dxa"/>
        </w:tblCellMar>
        <w:tblLook w:val="0000" w:firstRow="0" w:lastRow="0" w:firstColumn="0" w:lastColumn="0" w:noHBand="0" w:noVBand="0"/>
      </w:tblPr>
      <w:tblGrid>
        <w:gridCol w:w="2381"/>
        <w:gridCol w:w="7087"/>
      </w:tblGrid>
      <w:tr w:rsidR="00312820" w14:paraId="37024AF1" w14:textId="77777777" w:rsidTr="00312820">
        <w:trPr>
          <w:trHeight w:val="1440"/>
        </w:trPr>
        <w:tc>
          <w:tcPr>
            <w:tcW w:w="2381" w:type="dxa"/>
            <w:tcBorders>
              <w:top w:val="nil"/>
              <w:left w:val="nil"/>
              <w:bottom w:val="nil"/>
              <w:right w:val="nil"/>
            </w:tcBorders>
          </w:tcPr>
          <w:p w14:paraId="37024AEA" w14:textId="77777777" w:rsidR="00312820" w:rsidRDefault="00632881">
            <w:pPr>
              <w:pStyle w:val="ZCom"/>
            </w:pPr>
            <w:r>
              <w:rPr>
                <w:sz w:val="20"/>
                <w:szCs w:val="20"/>
              </w:rPr>
              <w:pict w14:anchorId="37024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53.7pt" fillcolor="window">
                  <v:imagedata r:id="rId11" o:title="logo_ec_17_colors_300dpi"/>
                </v:shape>
              </w:pict>
            </w:r>
          </w:p>
        </w:tc>
        <w:tc>
          <w:tcPr>
            <w:tcW w:w="7087" w:type="dxa"/>
            <w:tcBorders>
              <w:top w:val="nil"/>
              <w:left w:val="nil"/>
              <w:bottom w:val="nil"/>
              <w:right w:val="nil"/>
            </w:tcBorders>
          </w:tcPr>
          <w:p w14:paraId="37024AEB" w14:textId="77777777" w:rsidR="00312820" w:rsidRDefault="00312820">
            <w:pPr>
              <w:pStyle w:val="ZCom"/>
              <w:spacing w:before="90"/>
            </w:pPr>
            <w:r>
              <w:t>EUROPEAN COMMISSION</w:t>
            </w:r>
          </w:p>
          <w:p w14:paraId="37024AEC" w14:textId="77777777" w:rsidR="00312820" w:rsidRDefault="00312820">
            <w:pPr>
              <w:pStyle w:val="ZDGName"/>
            </w:pPr>
            <w:r>
              <w:t>Directorate-General for Internal Market, Industry, Entrepreneurship and SMEs</w:t>
            </w:r>
          </w:p>
          <w:p w14:paraId="37024AED" w14:textId="77777777" w:rsidR="00312820" w:rsidRDefault="00312820">
            <w:pPr>
              <w:pStyle w:val="ZDGName"/>
            </w:pPr>
          </w:p>
          <w:p w14:paraId="37024AEE" w14:textId="77777777" w:rsidR="00312820" w:rsidRDefault="00312820">
            <w:pPr>
              <w:pStyle w:val="ZDGName"/>
            </w:pPr>
            <w:r>
              <w:t>Single Market for Public Administrations</w:t>
            </w:r>
          </w:p>
          <w:p w14:paraId="37024AEF" w14:textId="77777777" w:rsidR="00312820" w:rsidRDefault="00312820">
            <w:pPr>
              <w:pStyle w:val="ZDGName"/>
            </w:pPr>
            <w:r>
              <w:rPr>
                <w:b/>
                <w:bCs/>
              </w:rPr>
              <w:t>Innovative and E-Procurement</w:t>
            </w:r>
          </w:p>
          <w:p w14:paraId="37024AF0" w14:textId="77777777" w:rsidR="00312820" w:rsidRDefault="00312820">
            <w:pPr>
              <w:pStyle w:val="ZDGName"/>
            </w:pPr>
          </w:p>
        </w:tc>
      </w:tr>
    </w:tbl>
    <w:p w14:paraId="37024AF2" w14:textId="1FA8434B" w:rsidR="00312820" w:rsidRPr="00DC7142" w:rsidRDefault="00170078" w:rsidP="00312820">
      <w:pPr>
        <w:pStyle w:val="Exposdesmotifstitre"/>
        <w:rPr>
          <w:u w:val="none"/>
        </w:rPr>
      </w:pPr>
      <w:r w:rsidRPr="00DC7142">
        <w:rPr>
          <w:u w:val="none"/>
        </w:rPr>
        <w:t xml:space="preserve">Commission </w:t>
      </w:r>
      <w:r w:rsidR="001679AD" w:rsidRPr="00DC7142">
        <w:rPr>
          <w:u w:val="none"/>
        </w:rPr>
        <w:t>I</w:t>
      </w:r>
      <w:r w:rsidRPr="00DC7142">
        <w:rPr>
          <w:u w:val="none"/>
        </w:rPr>
        <w:t xml:space="preserve">mplementing </w:t>
      </w:r>
      <w:r w:rsidR="001679AD" w:rsidRPr="00DC7142">
        <w:rPr>
          <w:u w:val="none"/>
        </w:rPr>
        <w:t>R</w:t>
      </w:r>
      <w:r w:rsidRPr="00DC7142">
        <w:rPr>
          <w:u w:val="none"/>
        </w:rPr>
        <w:t>egulation establishing standard forms for the publication of notices in the field of public procurement ("</w:t>
      </w:r>
      <w:r w:rsidR="00312820" w:rsidRPr="00DC7142">
        <w:rPr>
          <w:u w:val="none"/>
        </w:rPr>
        <w:t>eForms</w:t>
      </w:r>
      <w:r w:rsidRPr="00DC7142">
        <w:rPr>
          <w:u w:val="none"/>
        </w:rPr>
        <w:t>")</w:t>
      </w:r>
      <w:r w:rsidRPr="00DC7142">
        <w:rPr>
          <w:u w:val="none"/>
        </w:rPr>
        <w:br/>
      </w:r>
      <w:r w:rsidR="00312820" w:rsidRPr="00DC7142">
        <w:rPr>
          <w:u w:val="none"/>
        </w:rPr>
        <w:t xml:space="preserve"> –</w:t>
      </w:r>
      <w:r w:rsidR="00E935E3">
        <w:rPr>
          <w:u w:val="none"/>
        </w:rPr>
        <w:t xml:space="preserve"> </w:t>
      </w:r>
      <w:r w:rsidR="00A62582" w:rsidRPr="00DC7142">
        <w:rPr>
          <w:u w:val="none"/>
        </w:rPr>
        <w:t xml:space="preserve">public feedback </w:t>
      </w:r>
      <w:r w:rsidR="00312820" w:rsidRPr="00DC7142">
        <w:rPr>
          <w:u w:val="none"/>
        </w:rPr>
        <w:t>explanatory note</w:t>
      </w:r>
    </w:p>
    <w:p w14:paraId="503B62F6" w14:textId="719DCB2C" w:rsidR="00651362" w:rsidRDefault="00651362" w:rsidP="00312820">
      <w:pPr>
        <w:pStyle w:val="Heading2"/>
        <w:numPr>
          <w:ilvl w:val="0"/>
          <w:numId w:val="35"/>
        </w:numPr>
        <w:tabs>
          <w:tab w:val="left" w:pos="850"/>
        </w:tabs>
        <w:spacing w:before="360" w:after="120"/>
      </w:pPr>
      <w:r>
        <w:t>Introduction</w:t>
      </w:r>
    </w:p>
    <w:p w14:paraId="537DD81D" w14:textId="77777777" w:rsidR="00651362" w:rsidRPr="00276A7D" w:rsidRDefault="00651362" w:rsidP="00365F90">
      <w:pPr>
        <w:rPr>
          <w:szCs w:val="24"/>
        </w:rPr>
      </w:pPr>
      <w:r w:rsidRPr="00276A7D">
        <w:rPr>
          <w:szCs w:val="24"/>
        </w:rPr>
        <w:t xml:space="preserve">The Commission proposes a major update to the public procurement standard forms. This update aims to significantly improve the usefulness of data on European procurement for all users: companies, governments and citizens. The Implementing Regulation on eForms will replace </w:t>
      </w:r>
      <w:hyperlink r:id="rId12" w:history="1">
        <w:r w:rsidRPr="00276A7D">
          <w:rPr>
            <w:rStyle w:val="Hyperlink"/>
            <w:szCs w:val="24"/>
          </w:rPr>
          <w:t>Implementing Regulation 2015/1986</w:t>
        </w:r>
      </w:hyperlink>
      <w:r w:rsidRPr="00276A7D">
        <w:rPr>
          <w:szCs w:val="24"/>
        </w:rPr>
        <w:t xml:space="preserve">. </w:t>
      </w:r>
    </w:p>
    <w:p w14:paraId="03296B15" w14:textId="39596B67" w:rsidR="00651362" w:rsidRDefault="004962DA" w:rsidP="00365F90">
      <w:pPr>
        <w:pStyle w:val="Text2"/>
        <w:ind w:left="0"/>
      </w:pPr>
      <w:r>
        <w:t>Before launching the official procedure with the EU countries’ Advisory Committee on Public Contracts, w</w:t>
      </w:r>
      <w:r w:rsidR="00651362">
        <w:t xml:space="preserve">e </w:t>
      </w:r>
      <w:r w:rsidR="00921F50">
        <w:t xml:space="preserve">would welcome </w:t>
      </w:r>
      <w:r w:rsidR="00FB08BF">
        <w:t xml:space="preserve">public </w:t>
      </w:r>
      <w:r w:rsidR="00651362">
        <w:t xml:space="preserve">feedback on this proposal. </w:t>
      </w:r>
    </w:p>
    <w:p w14:paraId="6E146528" w14:textId="37F2806C" w:rsidR="00A763E4" w:rsidRDefault="00CE0B27" w:rsidP="00365F90">
      <w:pPr>
        <w:pStyle w:val="Text2"/>
        <w:spacing w:after="0"/>
        <w:ind w:left="0"/>
      </w:pPr>
      <w:r>
        <w:t xml:space="preserve">This note </w:t>
      </w:r>
      <w:r w:rsidR="002043BC">
        <w:t>describes</w:t>
      </w:r>
      <w:r w:rsidR="00A763E4">
        <w:t xml:space="preserve"> the context of the proposal. Annex I </w:t>
      </w:r>
      <w:r w:rsidR="002043BC">
        <w:t xml:space="preserve">explains </w:t>
      </w:r>
      <w:r w:rsidR="00A763E4">
        <w:t xml:space="preserve">how to give feedback. Annex II </w:t>
      </w:r>
      <w:r w:rsidR="002043BC">
        <w:t>highlights new policy-relevant information proposed</w:t>
      </w:r>
      <w:r w:rsidR="00812509">
        <w:t xml:space="preserve"> in the act</w:t>
      </w:r>
      <w:r w:rsidR="002043BC">
        <w:t>.</w:t>
      </w:r>
    </w:p>
    <w:p w14:paraId="37024AF3" w14:textId="11505914" w:rsidR="00312820" w:rsidRPr="00452A54" w:rsidRDefault="00312820" w:rsidP="00365F90">
      <w:pPr>
        <w:pStyle w:val="Heading2"/>
        <w:numPr>
          <w:ilvl w:val="0"/>
          <w:numId w:val="35"/>
        </w:numPr>
        <w:tabs>
          <w:tab w:val="left" w:pos="850"/>
        </w:tabs>
        <w:spacing w:before="120" w:after="120"/>
        <w:ind w:left="357" w:hanging="357"/>
      </w:pPr>
      <w:r w:rsidRPr="00452A54">
        <w:t>Process</w:t>
      </w:r>
    </w:p>
    <w:p w14:paraId="37024AF5" w14:textId="6F6C6BCF" w:rsidR="00312820" w:rsidRDefault="00312820" w:rsidP="00312820">
      <w:pPr>
        <w:rPr>
          <w:szCs w:val="24"/>
        </w:rPr>
      </w:pPr>
      <w:r>
        <w:rPr>
          <w:szCs w:val="24"/>
        </w:rPr>
        <w:t xml:space="preserve">Given the technical complexity of the file, </w:t>
      </w:r>
      <w:r w:rsidR="009C408E">
        <w:rPr>
          <w:szCs w:val="24"/>
        </w:rPr>
        <w:t xml:space="preserve">we have </w:t>
      </w:r>
      <w:r>
        <w:rPr>
          <w:szCs w:val="24"/>
        </w:rPr>
        <w:t xml:space="preserve">based </w:t>
      </w:r>
      <w:r w:rsidR="009C408E">
        <w:rPr>
          <w:szCs w:val="24"/>
        </w:rPr>
        <w:t xml:space="preserve">the proposal </w:t>
      </w:r>
      <w:r>
        <w:rPr>
          <w:szCs w:val="24"/>
        </w:rPr>
        <w:t xml:space="preserve">on </w:t>
      </w:r>
      <w:hyperlink r:id="rId13" w:history="1">
        <w:r w:rsidRPr="007C2289">
          <w:rPr>
            <w:rStyle w:val="Hyperlink"/>
            <w:szCs w:val="24"/>
          </w:rPr>
          <w:t>extensive stakeholder engagement</w:t>
        </w:r>
      </w:hyperlink>
      <w:r>
        <w:rPr>
          <w:szCs w:val="24"/>
        </w:rPr>
        <w:t xml:space="preserve">. A </w:t>
      </w:r>
      <w:r w:rsidR="00890E7D" w:rsidRPr="007C2289">
        <w:rPr>
          <w:szCs w:val="24"/>
        </w:rPr>
        <w:t>first</w:t>
      </w:r>
      <w:r w:rsidRPr="007C2289">
        <w:rPr>
          <w:szCs w:val="24"/>
        </w:rPr>
        <w:t xml:space="preserve"> consultation</w:t>
      </w:r>
      <w:r w:rsidRPr="00851C0E">
        <w:rPr>
          <w:szCs w:val="24"/>
        </w:rPr>
        <w:t xml:space="preserve"> took place </w:t>
      </w:r>
      <w:r>
        <w:rPr>
          <w:szCs w:val="24"/>
        </w:rPr>
        <w:t xml:space="preserve">from </w:t>
      </w:r>
      <w:r w:rsidR="00BB24D4">
        <w:rPr>
          <w:szCs w:val="24"/>
        </w:rPr>
        <w:t>Nov.</w:t>
      </w:r>
      <w:r>
        <w:rPr>
          <w:szCs w:val="24"/>
        </w:rPr>
        <w:t xml:space="preserve"> </w:t>
      </w:r>
      <w:r w:rsidRPr="00851C0E">
        <w:rPr>
          <w:szCs w:val="24"/>
        </w:rPr>
        <w:t xml:space="preserve">2016 </w:t>
      </w:r>
      <w:r>
        <w:rPr>
          <w:szCs w:val="24"/>
        </w:rPr>
        <w:t xml:space="preserve">to </w:t>
      </w:r>
      <w:r w:rsidR="00BB24D4">
        <w:rPr>
          <w:szCs w:val="24"/>
        </w:rPr>
        <w:t xml:space="preserve">Jan. </w:t>
      </w:r>
      <w:r w:rsidRPr="00851C0E">
        <w:rPr>
          <w:szCs w:val="24"/>
        </w:rPr>
        <w:t>2017</w:t>
      </w:r>
      <w:r>
        <w:rPr>
          <w:szCs w:val="24"/>
        </w:rPr>
        <w:t xml:space="preserve"> and </w:t>
      </w:r>
      <w:r w:rsidR="00FB08BF">
        <w:rPr>
          <w:szCs w:val="24"/>
        </w:rPr>
        <w:t xml:space="preserve">the Commission </w:t>
      </w:r>
      <w:r w:rsidR="004C3301">
        <w:rPr>
          <w:szCs w:val="24"/>
        </w:rPr>
        <w:t xml:space="preserve">discussed </w:t>
      </w:r>
      <w:r w:rsidR="00890E7D">
        <w:rPr>
          <w:szCs w:val="24"/>
        </w:rPr>
        <w:t xml:space="preserve">its results </w:t>
      </w:r>
      <w:r w:rsidR="00FB08BF">
        <w:rPr>
          <w:szCs w:val="24"/>
        </w:rPr>
        <w:t xml:space="preserve">with the EU countries’ experts </w:t>
      </w:r>
      <w:r w:rsidR="004C3301">
        <w:rPr>
          <w:szCs w:val="24"/>
        </w:rPr>
        <w:t>in</w:t>
      </w:r>
      <w:r w:rsidR="00890E7D">
        <w:rPr>
          <w:szCs w:val="24"/>
        </w:rPr>
        <w:t xml:space="preserve"> the </w:t>
      </w:r>
      <w:r w:rsidRPr="00152DD5">
        <w:rPr>
          <w:szCs w:val="24"/>
        </w:rPr>
        <w:t>E</w:t>
      </w:r>
      <w:r>
        <w:rPr>
          <w:szCs w:val="24"/>
        </w:rPr>
        <w:t xml:space="preserve">conomic and </w:t>
      </w:r>
      <w:r w:rsidRPr="00152DD5">
        <w:rPr>
          <w:szCs w:val="24"/>
        </w:rPr>
        <w:t>S</w:t>
      </w:r>
      <w:r>
        <w:rPr>
          <w:szCs w:val="24"/>
        </w:rPr>
        <w:t xml:space="preserve">tatistical </w:t>
      </w:r>
      <w:r w:rsidRPr="00152DD5">
        <w:rPr>
          <w:szCs w:val="24"/>
        </w:rPr>
        <w:t>W</w:t>
      </w:r>
      <w:r>
        <w:rPr>
          <w:szCs w:val="24"/>
        </w:rPr>
        <w:t xml:space="preserve">orking </w:t>
      </w:r>
      <w:r w:rsidRPr="00152DD5">
        <w:rPr>
          <w:szCs w:val="24"/>
        </w:rPr>
        <w:t>G</w:t>
      </w:r>
      <w:r>
        <w:rPr>
          <w:szCs w:val="24"/>
        </w:rPr>
        <w:t>roup</w:t>
      </w:r>
      <w:r w:rsidRPr="00152DD5">
        <w:rPr>
          <w:szCs w:val="24"/>
        </w:rPr>
        <w:t xml:space="preserve"> </w:t>
      </w:r>
      <w:r>
        <w:rPr>
          <w:szCs w:val="24"/>
        </w:rPr>
        <w:t xml:space="preserve">(ESWG) </w:t>
      </w:r>
      <w:r w:rsidRPr="00152DD5">
        <w:rPr>
          <w:szCs w:val="24"/>
        </w:rPr>
        <w:t>o</w:t>
      </w:r>
      <w:r w:rsidR="00FB08BF">
        <w:rPr>
          <w:szCs w:val="24"/>
        </w:rPr>
        <w:t>n</w:t>
      </w:r>
      <w:r w:rsidRPr="00152DD5">
        <w:rPr>
          <w:szCs w:val="24"/>
        </w:rPr>
        <w:t xml:space="preserve"> 8 April 2017. </w:t>
      </w:r>
      <w:r>
        <w:rPr>
          <w:szCs w:val="24"/>
        </w:rPr>
        <w:t xml:space="preserve">A </w:t>
      </w:r>
      <w:r w:rsidR="00890E7D">
        <w:rPr>
          <w:szCs w:val="24"/>
        </w:rPr>
        <w:t>second</w:t>
      </w:r>
      <w:r>
        <w:rPr>
          <w:szCs w:val="24"/>
        </w:rPr>
        <w:t xml:space="preserve"> consultation took place from June to October 2018</w:t>
      </w:r>
      <w:r w:rsidR="004F2030">
        <w:rPr>
          <w:szCs w:val="24"/>
        </w:rPr>
        <w:t xml:space="preserve"> and </w:t>
      </w:r>
      <w:r w:rsidR="00890E7D">
        <w:rPr>
          <w:szCs w:val="24"/>
        </w:rPr>
        <w:t xml:space="preserve">we </w:t>
      </w:r>
      <w:r w:rsidR="0020715B">
        <w:rPr>
          <w:szCs w:val="24"/>
        </w:rPr>
        <w:t xml:space="preserve">went over </w:t>
      </w:r>
      <w:r w:rsidR="004F2030">
        <w:rPr>
          <w:szCs w:val="24"/>
        </w:rPr>
        <w:t xml:space="preserve">the state of play at a joint meeting of the </w:t>
      </w:r>
      <w:r>
        <w:rPr>
          <w:szCs w:val="24"/>
        </w:rPr>
        <w:t xml:space="preserve">ESWG </w:t>
      </w:r>
      <w:r w:rsidR="004F2030">
        <w:rPr>
          <w:szCs w:val="24"/>
        </w:rPr>
        <w:t xml:space="preserve">and </w:t>
      </w:r>
      <w:r w:rsidR="007626DB">
        <w:rPr>
          <w:szCs w:val="24"/>
        </w:rPr>
        <w:t xml:space="preserve">the </w:t>
      </w:r>
      <w:r w:rsidR="007626DB" w:rsidRPr="004F2030">
        <w:rPr>
          <w:szCs w:val="24"/>
        </w:rPr>
        <w:t>Commission Government Experts Group on Public Procurement</w:t>
      </w:r>
      <w:r w:rsidR="007626DB">
        <w:rPr>
          <w:szCs w:val="24"/>
        </w:rPr>
        <w:t xml:space="preserve"> (EXPP) on </w:t>
      </w:r>
      <w:r>
        <w:rPr>
          <w:szCs w:val="24"/>
        </w:rPr>
        <w:t>10</w:t>
      </w:r>
      <w:r w:rsidRPr="006D3567">
        <w:rPr>
          <w:szCs w:val="24"/>
          <w:vertAlign w:val="superscript"/>
        </w:rPr>
        <w:t>th</w:t>
      </w:r>
      <w:r>
        <w:rPr>
          <w:szCs w:val="24"/>
        </w:rPr>
        <w:t xml:space="preserve"> </w:t>
      </w:r>
      <w:r w:rsidR="00BB24D4">
        <w:rPr>
          <w:szCs w:val="24"/>
        </w:rPr>
        <w:t xml:space="preserve">Dec. </w:t>
      </w:r>
      <w:r>
        <w:rPr>
          <w:szCs w:val="24"/>
        </w:rPr>
        <w:t>2018.</w:t>
      </w:r>
    </w:p>
    <w:p w14:paraId="37024AF7" w14:textId="325E08C3" w:rsidR="00CA0E3E" w:rsidRPr="00B40096" w:rsidRDefault="00056E98" w:rsidP="00CA0E3E">
      <w:pPr>
        <w:rPr>
          <w:szCs w:val="24"/>
        </w:rPr>
      </w:pPr>
      <w:r>
        <w:rPr>
          <w:szCs w:val="24"/>
        </w:rPr>
        <w:t xml:space="preserve">In </w:t>
      </w:r>
      <w:r w:rsidR="00651A7E">
        <w:rPr>
          <w:szCs w:val="24"/>
        </w:rPr>
        <w:t xml:space="preserve">the </w:t>
      </w:r>
      <w:r w:rsidR="00890E7D">
        <w:rPr>
          <w:szCs w:val="24"/>
        </w:rPr>
        <w:t xml:space="preserve">second </w:t>
      </w:r>
      <w:r w:rsidR="00651A7E">
        <w:rPr>
          <w:szCs w:val="24"/>
        </w:rPr>
        <w:t xml:space="preserve">consultation, more than 200 issues and 500 comments were raised and exchanged </w:t>
      </w:r>
      <w:hyperlink r:id="rId14" w:history="1">
        <w:r w:rsidR="00651A7E" w:rsidRPr="00C946A8">
          <w:rPr>
            <w:rStyle w:val="Hyperlink"/>
            <w:szCs w:val="24"/>
          </w:rPr>
          <w:t>via an online forum</w:t>
        </w:r>
      </w:hyperlink>
      <w:r>
        <w:rPr>
          <w:szCs w:val="24"/>
        </w:rPr>
        <w:t xml:space="preserve"> and </w:t>
      </w:r>
      <w:r w:rsidR="00544BDD">
        <w:rPr>
          <w:szCs w:val="24"/>
        </w:rPr>
        <w:t>six webinars were held.</w:t>
      </w:r>
      <w:r w:rsidR="00276839">
        <w:rPr>
          <w:szCs w:val="24"/>
        </w:rPr>
        <w:t xml:space="preserve"> </w:t>
      </w:r>
      <w:r w:rsidR="00B63404">
        <w:rPr>
          <w:szCs w:val="24"/>
        </w:rPr>
        <w:t>M</w:t>
      </w:r>
      <w:r w:rsidR="00C946A8">
        <w:rPr>
          <w:szCs w:val="24"/>
        </w:rPr>
        <w:t xml:space="preserve">ore than 30 </w:t>
      </w:r>
      <w:r w:rsidR="00B63404">
        <w:rPr>
          <w:szCs w:val="24"/>
        </w:rPr>
        <w:t xml:space="preserve">people, coming mainly from national administrations </w:t>
      </w:r>
      <w:r w:rsidR="00DC72E4">
        <w:rPr>
          <w:szCs w:val="24"/>
        </w:rPr>
        <w:t xml:space="preserve">and covering </w:t>
      </w:r>
      <w:r w:rsidR="00B63404">
        <w:rPr>
          <w:szCs w:val="24"/>
        </w:rPr>
        <w:t>more than half of EU countries</w:t>
      </w:r>
      <w:r w:rsidR="00DC72E4">
        <w:rPr>
          <w:szCs w:val="24"/>
        </w:rPr>
        <w:t>,</w:t>
      </w:r>
      <w:r w:rsidR="00B63404">
        <w:rPr>
          <w:szCs w:val="24"/>
        </w:rPr>
        <w:t xml:space="preserve"> contributed and raised over 200 issues</w:t>
      </w:r>
      <w:r w:rsidR="00DC72E4">
        <w:rPr>
          <w:szCs w:val="24"/>
        </w:rPr>
        <w:t>,</w:t>
      </w:r>
      <w:r w:rsidR="006B3567">
        <w:rPr>
          <w:szCs w:val="24"/>
        </w:rPr>
        <w:t xml:space="preserve"> which </w:t>
      </w:r>
      <w:r w:rsidR="00DD39BC">
        <w:rPr>
          <w:szCs w:val="24"/>
        </w:rPr>
        <w:t xml:space="preserve">resulted </w:t>
      </w:r>
      <w:r w:rsidR="00456E7E">
        <w:rPr>
          <w:szCs w:val="24"/>
        </w:rPr>
        <w:t>in</w:t>
      </w:r>
      <w:r w:rsidR="00544BDD">
        <w:rPr>
          <w:szCs w:val="24"/>
        </w:rPr>
        <w:t xml:space="preserve"> approximately 100 changes in the proposal</w:t>
      </w:r>
      <w:r w:rsidR="006B3567">
        <w:rPr>
          <w:szCs w:val="24"/>
        </w:rPr>
        <w:t>.</w:t>
      </w:r>
      <w:r w:rsidR="00B40096">
        <w:rPr>
          <w:szCs w:val="24"/>
        </w:rPr>
        <w:t xml:space="preserve"> This was followed by further technical work by the Commission. </w:t>
      </w:r>
      <w:r w:rsidR="00456E7E">
        <w:rPr>
          <w:szCs w:val="24"/>
        </w:rPr>
        <w:t xml:space="preserve">Overall, thanks to the </w:t>
      </w:r>
      <w:r w:rsidR="00642147">
        <w:rPr>
          <w:szCs w:val="24"/>
        </w:rPr>
        <w:t xml:space="preserve">contributions of the </w:t>
      </w:r>
      <w:r w:rsidR="00456E7E">
        <w:rPr>
          <w:szCs w:val="24"/>
        </w:rPr>
        <w:t xml:space="preserve">participants, these discussions have led to a </w:t>
      </w:r>
      <w:r w:rsidR="00651A7E">
        <w:rPr>
          <w:szCs w:val="24"/>
        </w:rPr>
        <w:t>mature a</w:t>
      </w:r>
      <w:r w:rsidR="00E93C4C">
        <w:rPr>
          <w:szCs w:val="24"/>
        </w:rPr>
        <w:t>nd technically strong proposal.</w:t>
      </w:r>
    </w:p>
    <w:p w14:paraId="37024AF8" w14:textId="77777777" w:rsidR="002C4AC2" w:rsidRPr="00152DD5" w:rsidRDefault="002C4AC2" w:rsidP="002C4AC2">
      <w:pPr>
        <w:spacing w:after="0" w:line="25" w:lineRule="atLeast"/>
        <w:rPr>
          <w:szCs w:val="24"/>
        </w:rPr>
      </w:pPr>
      <w:r>
        <w:rPr>
          <w:szCs w:val="24"/>
        </w:rPr>
        <w:t xml:space="preserve">The </w:t>
      </w:r>
      <w:r w:rsidRPr="00152DD5">
        <w:rPr>
          <w:szCs w:val="24"/>
        </w:rPr>
        <w:t xml:space="preserve">indicative </w:t>
      </w:r>
      <w:r>
        <w:rPr>
          <w:szCs w:val="24"/>
        </w:rPr>
        <w:t>timing for eForms is the following</w:t>
      </w:r>
      <w:r w:rsidRPr="00152DD5">
        <w:rPr>
          <w:szCs w:val="24"/>
        </w:rPr>
        <w:t>:</w:t>
      </w:r>
    </w:p>
    <w:p w14:paraId="37024AFA" w14:textId="427699E9" w:rsidR="002C4AC2" w:rsidRPr="00ED7E99" w:rsidRDefault="002C4AC2" w:rsidP="002C4AC2">
      <w:pPr>
        <w:numPr>
          <w:ilvl w:val="0"/>
          <w:numId w:val="28"/>
        </w:numPr>
        <w:spacing w:after="0" w:line="25" w:lineRule="atLeast"/>
        <w:ind w:left="426" w:hanging="284"/>
        <w:rPr>
          <w:szCs w:val="24"/>
        </w:rPr>
      </w:pPr>
      <w:r w:rsidRPr="00ED7E99">
        <w:rPr>
          <w:szCs w:val="24"/>
        </w:rPr>
        <w:t xml:space="preserve">Public feedback on the draft </w:t>
      </w:r>
      <w:r w:rsidR="001679AD">
        <w:rPr>
          <w:szCs w:val="24"/>
        </w:rPr>
        <w:t>Implementing Regulation</w:t>
      </w:r>
      <w:r w:rsidRPr="00ED7E99">
        <w:rPr>
          <w:szCs w:val="24"/>
        </w:rPr>
        <w:t xml:space="preserve"> (</w:t>
      </w:r>
      <w:r w:rsidR="008B7FA4">
        <w:rPr>
          <w:szCs w:val="24"/>
        </w:rPr>
        <w:t>Feb</w:t>
      </w:r>
      <w:r w:rsidR="00334A13">
        <w:rPr>
          <w:szCs w:val="24"/>
        </w:rPr>
        <w:t>.</w:t>
      </w:r>
      <w:r w:rsidR="001239A9">
        <w:rPr>
          <w:szCs w:val="24"/>
        </w:rPr>
        <w:t xml:space="preserve"> – Mar.</w:t>
      </w:r>
      <w:r>
        <w:rPr>
          <w:szCs w:val="24"/>
        </w:rPr>
        <w:t xml:space="preserve"> </w:t>
      </w:r>
      <w:r w:rsidRPr="00ED7E99">
        <w:rPr>
          <w:szCs w:val="24"/>
        </w:rPr>
        <w:t>201</w:t>
      </w:r>
      <w:r w:rsidR="00334A13">
        <w:rPr>
          <w:szCs w:val="24"/>
        </w:rPr>
        <w:t>9</w:t>
      </w:r>
      <w:r w:rsidRPr="00ED7E99">
        <w:rPr>
          <w:szCs w:val="24"/>
        </w:rPr>
        <w:t>)</w:t>
      </w:r>
    </w:p>
    <w:p w14:paraId="37024AFB" w14:textId="6A3BCEAA" w:rsidR="002C4AC2" w:rsidRPr="00ED7E99" w:rsidRDefault="002C4AC2" w:rsidP="002C4AC2">
      <w:pPr>
        <w:numPr>
          <w:ilvl w:val="0"/>
          <w:numId w:val="28"/>
        </w:numPr>
        <w:spacing w:after="0" w:line="25" w:lineRule="atLeast"/>
        <w:ind w:left="426" w:hanging="284"/>
        <w:rPr>
          <w:szCs w:val="24"/>
        </w:rPr>
      </w:pPr>
      <w:r>
        <w:rPr>
          <w:szCs w:val="24"/>
        </w:rPr>
        <w:t>D</w:t>
      </w:r>
      <w:r w:rsidRPr="00ED7E99">
        <w:rPr>
          <w:szCs w:val="24"/>
        </w:rPr>
        <w:t xml:space="preserve">raft </w:t>
      </w:r>
      <w:r w:rsidR="001679AD">
        <w:rPr>
          <w:szCs w:val="24"/>
        </w:rPr>
        <w:t>Implementing Regulation</w:t>
      </w:r>
      <w:r w:rsidRPr="00ED7E99">
        <w:rPr>
          <w:szCs w:val="24"/>
        </w:rPr>
        <w:t xml:space="preserve"> </w:t>
      </w:r>
      <w:r>
        <w:rPr>
          <w:szCs w:val="24"/>
        </w:rPr>
        <w:t xml:space="preserve">translated </w:t>
      </w:r>
      <w:r w:rsidRPr="00ED7E99">
        <w:rPr>
          <w:szCs w:val="24"/>
        </w:rPr>
        <w:t>into all EU official languages (</w:t>
      </w:r>
      <w:r w:rsidR="001239A9">
        <w:rPr>
          <w:szCs w:val="24"/>
        </w:rPr>
        <w:t>April</w:t>
      </w:r>
      <w:r>
        <w:rPr>
          <w:szCs w:val="24"/>
        </w:rPr>
        <w:t xml:space="preserve"> </w:t>
      </w:r>
      <w:r w:rsidRPr="00ED7E99">
        <w:rPr>
          <w:szCs w:val="24"/>
        </w:rPr>
        <w:t>201</w:t>
      </w:r>
      <w:r w:rsidR="00334A13">
        <w:rPr>
          <w:szCs w:val="24"/>
        </w:rPr>
        <w:t>9</w:t>
      </w:r>
      <w:r w:rsidRPr="00ED7E99">
        <w:rPr>
          <w:szCs w:val="24"/>
        </w:rPr>
        <w:t xml:space="preserve">) </w:t>
      </w:r>
    </w:p>
    <w:p w14:paraId="37024AFC" w14:textId="4BC9190C" w:rsidR="002C4AC2" w:rsidRPr="00ED7E99" w:rsidRDefault="002C4AC2" w:rsidP="002C4AC2">
      <w:pPr>
        <w:numPr>
          <w:ilvl w:val="0"/>
          <w:numId w:val="28"/>
        </w:numPr>
        <w:spacing w:after="0" w:line="25" w:lineRule="atLeast"/>
        <w:ind w:left="426" w:hanging="284"/>
        <w:rPr>
          <w:szCs w:val="24"/>
        </w:rPr>
      </w:pPr>
      <w:r w:rsidRPr="00ED7E99">
        <w:rPr>
          <w:szCs w:val="24"/>
        </w:rPr>
        <w:t>Approval by M</w:t>
      </w:r>
      <w:r>
        <w:rPr>
          <w:szCs w:val="24"/>
        </w:rPr>
        <w:t xml:space="preserve">ember </w:t>
      </w:r>
      <w:r w:rsidRPr="00ED7E99">
        <w:rPr>
          <w:szCs w:val="24"/>
        </w:rPr>
        <w:t>S</w:t>
      </w:r>
      <w:r>
        <w:rPr>
          <w:szCs w:val="24"/>
        </w:rPr>
        <w:t>tates</w:t>
      </w:r>
      <w:r w:rsidRPr="00ED7E99">
        <w:rPr>
          <w:szCs w:val="24"/>
        </w:rPr>
        <w:t xml:space="preserve"> in the Advisory Committee on Public Procurement and adoption by the European Commission (</w:t>
      </w:r>
      <w:r w:rsidR="001239A9">
        <w:rPr>
          <w:szCs w:val="24"/>
        </w:rPr>
        <w:t>May - June</w:t>
      </w:r>
      <w:r>
        <w:rPr>
          <w:szCs w:val="24"/>
        </w:rPr>
        <w:t xml:space="preserve"> </w:t>
      </w:r>
      <w:r w:rsidRPr="00ED7E99">
        <w:rPr>
          <w:szCs w:val="24"/>
        </w:rPr>
        <w:t xml:space="preserve">2019) </w:t>
      </w:r>
    </w:p>
    <w:p w14:paraId="37024AFD" w14:textId="0A806D53" w:rsidR="002C4AC2" w:rsidRPr="00ED7E99" w:rsidRDefault="002C4AC2" w:rsidP="002C4AC2">
      <w:pPr>
        <w:numPr>
          <w:ilvl w:val="0"/>
          <w:numId w:val="28"/>
        </w:numPr>
        <w:spacing w:after="0" w:line="25" w:lineRule="atLeast"/>
        <w:ind w:left="426" w:hanging="284"/>
        <w:rPr>
          <w:szCs w:val="24"/>
        </w:rPr>
      </w:pPr>
      <w:r w:rsidRPr="00ED7E99">
        <w:rPr>
          <w:szCs w:val="24"/>
        </w:rPr>
        <w:t xml:space="preserve">Publication of </w:t>
      </w:r>
      <w:r>
        <w:rPr>
          <w:szCs w:val="24"/>
        </w:rPr>
        <w:t xml:space="preserve">the technical </w:t>
      </w:r>
      <w:r w:rsidRPr="00ED7E99">
        <w:rPr>
          <w:szCs w:val="24"/>
        </w:rPr>
        <w:t xml:space="preserve">standard for electronic exchange of notices by the Publication Office of the EU. </w:t>
      </w:r>
      <w:r>
        <w:rPr>
          <w:szCs w:val="24"/>
        </w:rPr>
        <w:t xml:space="preserve">Start of implementation in Member States </w:t>
      </w:r>
      <w:r w:rsidRPr="00ED7E99">
        <w:rPr>
          <w:szCs w:val="24"/>
        </w:rPr>
        <w:t>(</w:t>
      </w:r>
      <w:r w:rsidR="001239A9">
        <w:rPr>
          <w:szCs w:val="24"/>
        </w:rPr>
        <w:t>June</w:t>
      </w:r>
      <w:r>
        <w:rPr>
          <w:szCs w:val="24"/>
        </w:rPr>
        <w:t xml:space="preserve"> </w:t>
      </w:r>
      <w:r w:rsidRPr="00ED7E99">
        <w:rPr>
          <w:szCs w:val="24"/>
        </w:rPr>
        <w:t>2020)</w:t>
      </w:r>
    </w:p>
    <w:p w14:paraId="1D869B0F" w14:textId="12771BE5" w:rsidR="001239A9" w:rsidRDefault="001239A9" w:rsidP="004C49D7">
      <w:pPr>
        <w:numPr>
          <w:ilvl w:val="0"/>
          <w:numId w:val="28"/>
        </w:numPr>
        <w:spacing w:after="0" w:line="25" w:lineRule="atLeast"/>
        <w:ind w:left="426" w:hanging="284"/>
        <w:rPr>
          <w:szCs w:val="24"/>
        </w:rPr>
      </w:pPr>
      <w:r>
        <w:rPr>
          <w:szCs w:val="24"/>
        </w:rPr>
        <w:t>Optional use in Member States (June 2022)</w:t>
      </w:r>
    </w:p>
    <w:p w14:paraId="5B488633" w14:textId="396CC9CD" w:rsidR="004C49D7" w:rsidRPr="002C4AC2" w:rsidRDefault="004C49D7" w:rsidP="004C49D7">
      <w:pPr>
        <w:numPr>
          <w:ilvl w:val="0"/>
          <w:numId w:val="28"/>
        </w:numPr>
        <w:spacing w:after="0" w:line="25" w:lineRule="atLeast"/>
        <w:ind w:left="426" w:hanging="284"/>
        <w:rPr>
          <w:szCs w:val="24"/>
        </w:rPr>
      </w:pPr>
      <w:r>
        <w:rPr>
          <w:szCs w:val="24"/>
        </w:rPr>
        <w:t>Mandatory use in Member States (</w:t>
      </w:r>
      <w:r w:rsidR="001239A9">
        <w:rPr>
          <w:szCs w:val="24"/>
        </w:rPr>
        <w:t>June</w:t>
      </w:r>
      <w:r>
        <w:rPr>
          <w:szCs w:val="24"/>
        </w:rPr>
        <w:t xml:space="preserve"> 2023)</w:t>
      </w:r>
      <w:r w:rsidRPr="002C4AC2">
        <w:rPr>
          <w:szCs w:val="24"/>
        </w:rPr>
        <w:br w:type="page"/>
      </w:r>
    </w:p>
    <w:p w14:paraId="37024B00" w14:textId="77777777" w:rsidR="00312820" w:rsidRPr="00452A54" w:rsidRDefault="00312820" w:rsidP="00ED4232">
      <w:pPr>
        <w:pStyle w:val="Heading2"/>
        <w:numPr>
          <w:ilvl w:val="0"/>
          <w:numId w:val="35"/>
        </w:numPr>
        <w:tabs>
          <w:tab w:val="left" w:pos="850"/>
        </w:tabs>
        <w:spacing w:before="360" w:after="120"/>
      </w:pPr>
      <w:r w:rsidRPr="00452A54">
        <w:lastRenderedPageBreak/>
        <w:t xml:space="preserve">Policy </w:t>
      </w:r>
      <w:r w:rsidR="00ED4232">
        <w:t>context</w:t>
      </w:r>
    </w:p>
    <w:p w14:paraId="37024B01" w14:textId="77777777" w:rsidR="00312820" w:rsidRPr="0075288C" w:rsidRDefault="00312820" w:rsidP="00312820">
      <w:pPr>
        <w:spacing w:after="0"/>
      </w:pPr>
      <w:r w:rsidRPr="0075288C">
        <w:t xml:space="preserve">eForms are one of the actions in the </w:t>
      </w:r>
      <w:r w:rsidR="00F7710C">
        <w:t>Communication</w:t>
      </w:r>
      <w:r>
        <w:t xml:space="preserve"> on Making Public Procurement work for and in Europe and </w:t>
      </w:r>
      <w:r w:rsidR="00F7710C">
        <w:t xml:space="preserve">the Communication on </w:t>
      </w:r>
      <w:r>
        <w:t xml:space="preserve">Upgrading the </w:t>
      </w:r>
      <w:r w:rsidRPr="006A483D">
        <w:t>Single Market</w:t>
      </w:r>
      <w:r w:rsidRPr="0075288C">
        <w:t xml:space="preserve">, where the European Commission has committed to "facilitate the collection, consolidation, management and analysis of procurement data, supporting Member States’ efforts towards better governance in public procurement [because] governance of procurement systems needs to be improved to ensure efficiency, transparency and integrity.” </w:t>
      </w:r>
      <w:r w:rsidRPr="0075288C">
        <w:rPr>
          <w:rStyle w:val="FootnoteReference"/>
        </w:rPr>
        <w:footnoteReference w:id="1"/>
      </w:r>
    </w:p>
    <w:p w14:paraId="37024B02" w14:textId="77777777" w:rsidR="00312820" w:rsidRDefault="00312820" w:rsidP="00ED4232">
      <w:pPr>
        <w:pStyle w:val="Heading2"/>
        <w:numPr>
          <w:ilvl w:val="0"/>
          <w:numId w:val="35"/>
        </w:numPr>
        <w:tabs>
          <w:tab w:val="left" w:pos="850"/>
        </w:tabs>
        <w:spacing w:before="360" w:after="120"/>
      </w:pPr>
      <w:r>
        <w:t>Purpose</w:t>
      </w:r>
    </w:p>
    <w:p w14:paraId="37024B03" w14:textId="77777777" w:rsidR="00312820" w:rsidRDefault="00312820" w:rsidP="00312820">
      <w:pPr>
        <w:spacing w:after="0"/>
      </w:pPr>
      <w:r w:rsidRPr="0075288C">
        <w:t xml:space="preserve">The main purpose of </w:t>
      </w:r>
      <w:r>
        <w:t xml:space="preserve">the new </w:t>
      </w:r>
      <w:r w:rsidRPr="0075288C">
        <w:t>eForms is to meet the needs of a diverse set of stakeholders involved in the publication and use of procurement data</w:t>
      </w:r>
      <w:r>
        <w:t>,</w:t>
      </w:r>
      <w:r w:rsidRPr="0075288C">
        <w:t xml:space="preserve"> while complying with the applicable provisions of the directives. Overall, these needs can be grouped into three goals: </w:t>
      </w:r>
      <w:r w:rsidR="00C22E9E">
        <w:rPr>
          <w:szCs w:val="24"/>
        </w:rPr>
        <w:t>improving</w:t>
      </w:r>
      <w:r w:rsidR="00C22E9E" w:rsidRPr="00E417EF">
        <w:rPr>
          <w:szCs w:val="24"/>
        </w:rPr>
        <w:t xml:space="preserve"> access to business opportunities for companies (esp. SMEs)</w:t>
      </w:r>
      <w:r w:rsidRPr="0075288C">
        <w:t>, good governance of public spending, and low costs of publishing (incl. low administrative burden). These reflect the procurement directives' core principles of equal treatment, non</w:t>
      </w:r>
      <w:r w:rsidRPr="0075288C">
        <w:noBreakHyphen/>
        <w:t xml:space="preserve">discrimination, transparency, proportionality, and competition. </w:t>
      </w:r>
    </w:p>
    <w:p w14:paraId="37024B04" w14:textId="77777777" w:rsidR="00C019C8" w:rsidRDefault="00C019C8" w:rsidP="00312820">
      <w:pPr>
        <w:spacing w:after="0"/>
      </w:pPr>
    </w:p>
    <w:p w14:paraId="37024B05" w14:textId="77777777" w:rsidR="00312820" w:rsidRDefault="00312820" w:rsidP="00312820">
      <w:pPr>
        <w:spacing w:after="0"/>
      </w:pPr>
      <w:r>
        <w:t>Concretely, eForms will bring many improvements</w:t>
      </w:r>
      <w:r w:rsidRPr="00404734">
        <w:t xml:space="preserve"> </w:t>
      </w:r>
      <w:r>
        <w:t>large and small, such as:</w:t>
      </w:r>
    </w:p>
    <w:p w14:paraId="37024B06"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Improving</w:t>
      </w:r>
      <w:r w:rsidRPr="00D01B6F">
        <w:rPr>
          <w:rFonts w:ascii="Times New Roman" w:hAnsi="Times New Roman"/>
          <w:sz w:val="24"/>
        </w:rPr>
        <w:t xml:space="preserve"> </w:t>
      </w:r>
      <w:r>
        <w:rPr>
          <w:rFonts w:ascii="Times New Roman" w:hAnsi="Times New Roman"/>
          <w:sz w:val="24"/>
        </w:rPr>
        <w:t xml:space="preserve">the </w:t>
      </w:r>
      <w:r w:rsidRPr="00D01B6F">
        <w:rPr>
          <w:rFonts w:ascii="Times New Roman" w:hAnsi="Times New Roman"/>
          <w:sz w:val="24"/>
        </w:rPr>
        <w:t xml:space="preserve">accuracy of information by defining the meaning of </w:t>
      </w:r>
      <w:r>
        <w:rPr>
          <w:rFonts w:ascii="Times New Roman" w:hAnsi="Times New Roman"/>
          <w:sz w:val="24"/>
        </w:rPr>
        <w:t>each field.</w:t>
      </w:r>
      <w:r w:rsidRPr="00D01B6F">
        <w:rPr>
          <w:rFonts w:ascii="Times New Roman" w:hAnsi="Times New Roman"/>
          <w:sz w:val="24"/>
        </w:rPr>
        <w:t xml:space="preserve"> </w:t>
      </w:r>
    </w:p>
    <w:p w14:paraId="37024B07"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Simplifying the </w:t>
      </w:r>
      <w:r w:rsidRPr="008E225A">
        <w:rPr>
          <w:rFonts w:ascii="Times New Roman" w:hAnsi="Times New Roman"/>
          <w:sz w:val="24"/>
        </w:rPr>
        <w:t>forms</w:t>
      </w:r>
      <w:r>
        <w:rPr>
          <w:rFonts w:ascii="Times New Roman" w:hAnsi="Times New Roman"/>
          <w:sz w:val="24"/>
        </w:rPr>
        <w:t xml:space="preserve"> by removing unnecessary dif</w:t>
      </w:r>
      <w:r w:rsidR="002C7B0C">
        <w:rPr>
          <w:rFonts w:ascii="Times New Roman" w:hAnsi="Times New Roman"/>
          <w:sz w:val="24"/>
        </w:rPr>
        <w:t xml:space="preserve">ferences and confusing concepts. </w:t>
      </w:r>
    </w:p>
    <w:p w14:paraId="37024B08"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Making forms more user-friendly and understandable by g</w:t>
      </w:r>
      <w:r w:rsidRPr="00D01B6F">
        <w:rPr>
          <w:rFonts w:ascii="Times New Roman" w:hAnsi="Times New Roman"/>
          <w:sz w:val="24"/>
        </w:rPr>
        <w:t xml:space="preserve">iving Member States </w:t>
      </w:r>
      <w:r>
        <w:rPr>
          <w:rFonts w:ascii="Times New Roman" w:hAnsi="Times New Roman"/>
          <w:sz w:val="24"/>
        </w:rPr>
        <w:t xml:space="preserve">the freedom to </w:t>
      </w:r>
      <w:r w:rsidRPr="00D01B6F">
        <w:rPr>
          <w:rFonts w:ascii="Times New Roman" w:hAnsi="Times New Roman"/>
          <w:sz w:val="24"/>
        </w:rPr>
        <w:t xml:space="preserve">use </w:t>
      </w:r>
      <w:r>
        <w:rPr>
          <w:rFonts w:ascii="Times New Roman" w:hAnsi="Times New Roman"/>
          <w:sz w:val="24"/>
        </w:rPr>
        <w:t xml:space="preserve">the </w:t>
      </w:r>
      <w:r w:rsidRPr="00D01B6F">
        <w:rPr>
          <w:rFonts w:ascii="Times New Roman" w:hAnsi="Times New Roman"/>
          <w:sz w:val="24"/>
        </w:rPr>
        <w:t xml:space="preserve">field labels that </w:t>
      </w:r>
      <w:r>
        <w:rPr>
          <w:rFonts w:ascii="Times New Roman" w:hAnsi="Times New Roman"/>
          <w:sz w:val="24"/>
        </w:rPr>
        <w:t xml:space="preserve">work </w:t>
      </w:r>
      <w:r w:rsidRPr="00D01B6F">
        <w:rPr>
          <w:rFonts w:ascii="Times New Roman" w:hAnsi="Times New Roman"/>
          <w:sz w:val="24"/>
        </w:rPr>
        <w:t>in thei</w:t>
      </w:r>
      <w:r>
        <w:rPr>
          <w:rFonts w:ascii="Times New Roman" w:hAnsi="Times New Roman"/>
          <w:sz w:val="24"/>
        </w:rPr>
        <w:t>r national contexts.</w:t>
      </w:r>
      <w:r w:rsidRPr="00D01B6F">
        <w:rPr>
          <w:rFonts w:ascii="Times New Roman" w:hAnsi="Times New Roman"/>
          <w:sz w:val="24"/>
        </w:rPr>
        <w:t xml:space="preserve"> </w:t>
      </w:r>
    </w:p>
    <w:p w14:paraId="37024B09" w14:textId="77777777" w:rsidR="002C7B0C" w:rsidRDefault="002C7B0C"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Simplifying the legal framework: </w:t>
      </w:r>
      <w:r w:rsidRPr="00C019C8">
        <w:rPr>
          <w:rFonts w:ascii="Times New Roman" w:hAnsi="Times New Roman"/>
          <w:sz w:val="24"/>
        </w:rPr>
        <w:t>f</w:t>
      </w:r>
      <w:r w:rsidR="00A91DE5">
        <w:rPr>
          <w:rFonts w:ascii="Times New Roman" w:hAnsi="Times New Roman"/>
          <w:sz w:val="24"/>
        </w:rPr>
        <w:t xml:space="preserve">rom 22 types of forms to just 6 </w:t>
      </w:r>
      <w:r w:rsidRPr="00C019C8">
        <w:rPr>
          <w:rFonts w:ascii="Times New Roman" w:hAnsi="Times New Roman"/>
          <w:sz w:val="24"/>
        </w:rPr>
        <w:t>from 150 pages of legislation to 25.</w:t>
      </w:r>
    </w:p>
    <w:p w14:paraId="37024B0A"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Lowering administrative burden by improving consistency </w:t>
      </w:r>
      <w:r w:rsidR="00F75385">
        <w:rPr>
          <w:rFonts w:ascii="Times New Roman" w:hAnsi="Times New Roman"/>
          <w:sz w:val="24"/>
        </w:rPr>
        <w:t xml:space="preserve">and removing duplication </w:t>
      </w:r>
      <w:r>
        <w:rPr>
          <w:rFonts w:ascii="Times New Roman" w:hAnsi="Times New Roman"/>
          <w:sz w:val="24"/>
        </w:rPr>
        <w:t>with other standards and tools such as the ESPD.</w:t>
      </w:r>
    </w:p>
    <w:p w14:paraId="37024B0B"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Giving more freedom to buyers by allowing them to specify more information (e.g. selection criteria) at the level of lots instead of the level of notices. </w:t>
      </w:r>
    </w:p>
    <w:p w14:paraId="37024B0C"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Helping improve governance by making structured buyer and seller identifiers mandatory and including a limited number of policy relevant fields (e.g. on green, social, and innovative procurement). </w:t>
      </w:r>
    </w:p>
    <w:p w14:paraId="37024B0D"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 xml:space="preserve">Balancing transparency and competition by adding the option to, in justified cases, mark fields in contract award notices as not intended for publication.  </w:t>
      </w:r>
    </w:p>
    <w:p w14:paraId="37024B0E"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Supporting the (voluntary) publication of below-threshold notices in the TED format by including fields relevant for below-threshold procurement.</w:t>
      </w:r>
    </w:p>
    <w:p w14:paraId="37024B0F" w14:textId="77777777" w:rsidR="00312820" w:rsidRDefault="00312820" w:rsidP="003A22DE">
      <w:pPr>
        <w:pStyle w:val="ListParagraph"/>
        <w:numPr>
          <w:ilvl w:val="0"/>
          <w:numId w:val="32"/>
        </w:numPr>
        <w:spacing w:after="0"/>
        <w:ind w:left="426"/>
        <w:jc w:val="both"/>
        <w:rPr>
          <w:rFonts w:ascii="Times New Roman" w:hAnsi="Times New Roman"/>
          <w:sz w:val="24"/>
        </w:rPr>
      </w:pPr>
      <w:r>
        <w:rPr>
          <w:rFonts w:ascii="Times New Roman" w:hAnsi="Times New Roman"/>
          <w:sz w:val="24"/>
        </w:rPr>
        <w:t>Simplifying the forms by updating the process for publishing corrections of notices.</w:t>
      </w:r>
    </w:p>
    <w:p w14:paraId="37024B10" w14:textId="77777777" w:rsidR="007D4546" w:rsidRPr="00962E1D" w:rsidRDefault="00312820" w:rsidP="003A22DE">
      <w:pPr>
        <w:pStyle w:val="ListParagraph"/>
        <w:numPr>
          <w:ilvl w:val="0"/>
          <w:numId w:val="32"/>
        </w:numPr>
        <w:spacing w:after="0"/>
        <w:ind w:left="426"/>
        <w:jc w:val="both"/>
        <w:rPr>
          <w:rFonts w:ascii="Times New Roman" w:hAnsi="Times New Roman"/>
          <w:sz w:val="24"/>
        </w:rPr>
      </w:pPr>
      <w:r w:rsidRPr="00404734">
        <w:rPr>
          <w:rFonts w:ascii="Times New Roman" w:hAnsi="Times New Roman"/>
          <w:sz w:val="24"/>
        </w:rPr>
        <w:t xml:space="preserve">Enabling better identification of business opportunities </w:t>
      </w:r>
      <w:r>
        <w:rPr>
          <w:rFonts w:ascii="Times New Roman" w:hAnsi="Times New Roman"/>
          <w:sz w:val="24"/>
        </w:rPr>
        <w:t>in the EU by introducing an EU wide procurement procedure identifier.</w:t>
      </w:r>
    </w:p>
    <w:p w14:paraId="37024B11" w14:textId="77777777" w:rsidR="008C25C7" w:rsidRPr="00EA3B76" w:rsidRDefault="008C25C7" w:rsidP="00EA3B76">
      <w:pPr>
        <w:spacing w:after="0"/>
      </w:pPr>
      <w:bookmarkStart w:id="0" w:name="_Ref488241285"/>
      <w:r>
        <w:rPr>
          <w:rFonts w:ascii="Cambria" w:hAnsi="Cambria"/>
          <w:b/>
          <w:bCs/>
          <w:color w:val="4F81BD"/>
          <w:sz w:val="26"/>
          <w:szCs w:val="26"/>
        </w:rPr>
        <w:br w:type="page"/>
      </w:r>
    </w:p>
    <w:bookmarkEnd w:id="0"/>
    <w:p w14:paraId="37024B17" w14:textId="77777777" w:rsidR="00B00100" w:rsidRDefault="00B00100" w:rsidP="00B00100">
      <w:pPr>
        <w:pStyle w:val="Heading2"/>
        <w:numPr>
          <w:ilvl w:val="0"/>
          <w:numId w:val="35"/>
        </w:numPr>
        <w:tabs>
          <w:tab w:val="left" w:pos="850"/>
        </w:tabs>
        <w:spacing w:before="360" w:after="120"/>
      </w:pPr>
      <w:r>
        <w:lastRenderedPageBreak/>
        <w:t>Supp</w:t>
      </w:r>
      <w:r w:rsidR="003D1BCB">
        <w:t>ort measures</w:t>
      </w:r>
    </w:p>
    <w:p w14:paraId="37024B18" w14:textId="2FC64EF1" w:rsidR="000A6433" w:rsidRDefault="00E3174F" w:rsidP="003D1BCB">
      <w:pPr>
        <w:pStyle w:val="Text2"/>
        <w:ind w:left="0"/>
      </w:pPr>
      <w:r>
        <w:t xml:space="preserve">One of the important goals of the new </w:t>
      </w:r>
      <w:r w:rsidR="001679AD">
        <w:t>Implementing Regulation</w:t>
      </w:r>
      <w:r w:rsidR="003D1BCB">
        <w:t xml:space="preserve"> </w:t>
      </w:r>
      <w:r>
        <w:t xml:space="preserve">is to give more freedom and flexibility to Member States, e-procurement systems and buyers in how </w:t>
      </w:r>
      <w:r w:rsidR="000A6433">
        <w:t>they get the most benefit</w:t>
      </w:r>
      <w:r w:rsidR="00427FB5">
        <w:t>s</w:t>
      </w:r>
      <w:r w:rsidR="000A6433">
        <w:t xml:space="preserve"> from </w:t>
      </w:r>
      <w:r w:rsidR="00427FB5">
        <w:t xml:space="preserve">the </w:t>
      </w:r>
      <w:r w:rsidR="000A6433">
        <w:t xml:space="preserve">standard forms. However, this does not mean that Member States will be left </w:t>
      </w:r>
      <w:r w:rsidR="00427FB5">
        <w:t xml:space="preserve">alone </w:t>
      </w:r>
      <w:r w:rsidR="000A6433">
        <w:t xml:space="preserve">with more implementation </w:t>
      </w:r>
      <w:r w:rsidR="00427FB5">
        <w:t xml:space="preserve">work. </w:t>
      </w:r>
      <w:r w:rsidR="000A6433">
        <w:t xml:space="preserve">The Commission will provide various support tools to help Member States with implementation. </w:t>
      </w:r>
    </w:p>
    <w:p w14:paraId="37024B19" w14:textId="77777777" w:rsidR="003D1BCB" w:rsidRPr="003D1BCB" w:rsidRDefault="000A6433" w:rsidP="003D1BCB">
      <w:pPr>
        <w:pStyle w:val="Text2"/>
        <w:ind w:left="0"/>
      </w:pPr>
      <w:r>
        <w:t xml:space="preserve">In particular: </w:t>
      </w:r>
    </w:p>
    <w:p w14:paraId="37024B1A" w14:textId="77777777" w:rsidR="00A323BF" w:rsidRDefault="00A323BF" w:rsidP="003A22DE">
      <w:pPr>
        <w:numPr>
          <w:ilvl w:val="0"/>
          <w:numId w:val="31"/>
        </w:numPr>
        <w:spacing w:line="25" w:lineRule="atLeast"/>
        <w:ind w:left="426"/>
        <w:rPr>
          <w:szCs w:val="24"/>
        </w:rPr>
      </w:pPr>
      <w:r>
        <w:rPr>
          <w:szCs w:val="24"/>
        </w:rPr>
        <w:t xml:space="preserve">The Commission will prepare </w:t>
      </w:r>
      <w:r w:rsidR="00427FB5">
        <w:rPr>
          <w:szCs w:val="24"/>
        </w:rPr>
        <w:t>guidance</w:t>
      </w:r>
      <w:r>
        <w:rPr>
          <w:szCs w:val="24"/>
        </w:rPr>
        <w:t xml:space="preserve"> on implementing the standard forms and will maintain a </w:t>
      </w:r>
      <w:r w:rsidR="004D2D8E">
        <w:rPr>
          <w:szCs w:val="24"/>
        </w:rPr>
        <w:t xml:space="preserve">collaborative </w:t>
      </w:r>
      <w:r>
        <w:rPr>
          <w:szCs w:val="24"/>
        </w:rPr>
        <w:t>platform for the exchange of best practices and discussion of issues.</w:t>
      </w:r>
    </w:p>
    <w:p w14:paraId="37024B1B" w14:textId="77777777" w:rsidR="000A6433" w:rsidRDefault="000A6433" w:rsidP="003A22DE">
      <w:pPr>
        <w:numPr>
          <w:ilvl w:val="0"/>
          <w:numId w:val="31"/>
        </w:numPr>
        <w:spacing w:line="25" w:lineRule="atLeast"/>
        <w:ind w:left="426"/>
        <w:rPr>
          <w:szCs w:val="24"/>
        </w:rPr>
      </w:pPr>
      <w:r>
        <w:rPr>
          <w:szCs w:val="24"/>
        </w:rPr>
        <w:t>Member States will have access to models (including labels) used in the TED and eNotices applications (in all languages), which they can reuse and build on in their own form filling and notice displaying tools.</w:t>
      </w:r>
    </w:p>
    <w:p w14:paraId="37024B1C" w14:textId="7C798233" w:rsidR="00B00100" w:rsidRDefault="005353BF" w:rsidP="003A22DE">
      <w:pPr>
        <w:numPr>
          <w:ilvl w:val="0"/>
          <w:numId w:val="31"/>
        </w:numPr>
        <w:spacing w:line="25" w:lineRule="atLeast"/>
        <w:ind w:left="426"/>
        <w:rPr>
          <w:szCs w:val="24"/>
        </w:rPr>
      </w:pPr>
      <w:r>
        <w:rPr>
          <w:szCs w:val="24"/>
        </w:rPr>
        <w:t xml:space="preserve">Member States will have access to a new version of </w:t>
      </w:r>
      <w:r w:rsidR="00F45205">
        <w:rPr>
          <w:szCs w:val="24"/>
        </w:rPr>
        <w:t xml:space="preserve">the </w:t>
      </w:r>
      <w:r w:rsidR="00A323BF">
        <w:rPr>
          <w:szCs w:val="24"/>
        </w:rPr>
        <w:t>eNotices</w:t>
      </w:r>
      <w:r w:rsidR="00F45205">
        <w:rPr>
          <w:szCs w:val="24"/>
        </w:rPr>
        <w:t xml:space="preserve"> application, currently under preparation by the Publications Office</w:t>
      </w:r>
      <w:r w:rsidR="00B00100" w:rsidRPr="0096109B">
        <w:rPr>
          <w:szCs w:val="24"/>
        </w:rPr>
        <w:t xml:space="preserve">. </w:t>
      </w:r>
      <w:r w:rsidR="001F522B" w:rsidRPr="00051661">
        <w:rPr>
          <w:iCs/>
          <w:szCs w:val="24"/>
        </w:rPr>
        <w:t>The Publications Office will provide the forms and a series of services (APIs) that 3</w:t>
      </w:r>
      <w:r w:rsidR="001F522B" w:rsidRPr="00051661">
        <w:rPr>
          <w:iCs/>
          <w:szCs w:val="24"/>
          <w:vertAlign w:val="superscript"/>
        </w:rPr>
        <w:t>rd</w:t>
      </w:r>
      <w:r w:rsidR="001F522B" w:rsidRPr="00051661">
        <w:rPr>
          <w:iCs/>
          <w:szCs w:val="24"/>
        </w:rPr>
        <w:t xml:space="preserve"> parties can re-use and integrate in their applications; this will make the development of their own applications faster and easier.</w:t>
      </w:r>
    </w:p>
    <w:p w14:paraId="37024B1D" w14:textId="77777777" w:rsidR="00D47C57" w:rsidRDefault="00170078" w:rsidP="003A22DE">
      <w:pPr>
        <w:numPr>
          <w:ilvl w:val="0"/>
          <w:numId w:val="31"/>
        </w:numPr>
        <w:spacing w:line="25" w:lineRule="atLeast"/>
        <w:ind w:left="426"/>
        <w:rPr>
          <w:szCs w:val="24"/>
        </w:rPr>
      </w:pPr>
      <w:r>
        <w:rPr>
          <w:szCs w:val="24"/>
        </w:rPr>
        <w:t xml:space="preserve">The Commission will propose funds for </w:t>
      </w:r>
      <w:r w:rsidR="00E135EC">
        <w:rPr>
          <w:szCs w:val="24"/>
        </w:rPr>
        <w:t xml:space="preserve">the </w:t>
      </w:r>
      <w:r>
        <w:rPr>
          <w:szCs w:val="24"/>
        </w:rPr>
        <w:t xml:space="preserve">implementation of eForms </w:t>
      </w:r>
      <w:r w:rsidR="00E135EC">
        <w:rPr>
          <w:szCs w:val="24"/>
        </w:rPr>
        <w:t xml:space="preserve">in the Connecting Europe Facility </w:t>
      </w:r>
      <w:r w:rsidR="000F5C77">
        <w:rPr>
          <w:szCs w:val="24"/>
        </w:rPr>
        <w:t xml:space="preserve">2019 and </w:t>
      </w:r>
      <w:r w:rsidR="00E135EC">
        <w:rPr>
          <w:szCs w:val="24"/>
        </w:rPr>
        <w:t>2020 work program</w:t>
      </w:r>
      <w:r w:rsidR="00D47C57">
        <w:rPr>
          <w:szCs w:val="24"/>
        </w:rPr>
        <w:t>s</w:t>
      </w:r>
      <w:r w:rsidR="00E135EC">
        <w:rPr>
          <w:szCs w:val="24"/>
        </w:rPr>
        <w:t xml:space="preserve">. (The final allocation </w:t>
      </w:r>
      <w:r w:rsidR="00D47C57">
        <w:rPr>
          <w:szCs w:val="24"/>
        </w:rPr>
        <w:t xml:space="preserve">of money is approved by </w:t>
      </w:r>
      <w:r w:rsidR="00E135EC">
        <w:rPr>
          <w:szCs w:val="24"/>
        </w:rPr>
        <w:t xml:space="preserve">Member States in </w:t>
      </w:r>
      <w:r w:rsidR="00D47C57">
        <w:rPr>
          <w:szCs w:val="24"/>
        </w:rPr>
        <w:t xml:space="preserve">the </w:t>
      </w:r>
      <w:r w:rsidR="00B52CB3">
        <w:rPr>
          <w:szCs w:val="24"/>
        </w:rPr>
        <w:t xml:space="preserve">Telecom Configuration of the </w:t>
      </w:r>
      <w:r w:rsidR="00D47C57" w:rsidRPr="00D47C57">
        <w:rPr>
          <w:szCs w:val="24"/>
        </w:rPr>
        <w:t>CEF Coordination Committee</w:t>
      </w:r>
      <w:r w:rsidR="00D47C57">
        <w:rPr>
          <w:szCs w:val="24"/>
        </w:rPr>
        <w:t xml:space="preserve">). </w:t>
      </w:r>
    </w:p>
    <w:p w14:paraId="37024B1E" w14:textId="77777777" w:rsidR="00A4202F" w:rsidRPr="0096109B" w:rsidRDefault="00451B14" w:rsidP="003A22DE">
      <w:pPr>
        <w:numPr>
          <w:ilvl w:val="0"/>
          <w:numId w:val="31"/>
        </w:numPr>
        <w:spacing w:line="25" w:lineRule="atLeast"/>
        <w:ind w:left="426"/>
        <w:rPr>
          <w:szCs w:val="24"/>
        </w:rPr>
      </w:pPr>
      <w:r>
        <w:rPr>
          <w:szCs w:val="24"/>
        </w:rPr>
        <w:t>The Publications Office and the European Commission will provide t</w:t>
      </w:r>
      <w:r w:rsidR="00A4202F">
        <w:rPr>
          <w:szCs w:val="24"/>
        </w:rPr>
        <w:t xml:space="preserve">echnical support (e.g. mapping between current forms and future forms; test environments).  </w:t>
      </w:r>
    </w:p>
    <w:p w14:paraId="37024B1F" w14:textId="71C12642" w:rsidR="004311C5" w:rsidRDefault="004311C5">
      <w:pPr>
        <w:spacing w:after="0"/>
        <w:jc w:val="left"/>
      </w:pPr>
      <w:r>
        <w:br w:type="page"/>
      </w:r>
    </w:p>
    <w:p w14:paraId="2DE5D1F1" w14:textId="77777777" w:rsidR="004311C5" w:rsidRDefault="004311C5" w:rsidP="004311C5">
      <w:pPr>
        <w:pStyle w:val="Heading2"/>
        <w:numPr>
          <w:ilvl w:val="0"/>
          <w:numId w:val="35"/>
        </w:numPr>
        <w:tabs>
          <w:tab w:val="left" w:pos="850"/>
        </w:tabs>
        <w:spacing w:before="360" w:after="120"/>
      </w:pPr>
      <w:r>
        <w:t>Future updates</w:t>
      </w:r>
    </w:p>
    <w:p w14:paraId="64B3CF42" w14:textId="6F0B0A5F" w:rsidR="004311C5" w:rsidRDefault="004311C5" w:rsidP="004311C5">
      <w:pPr>
        <w:pStyle w:val="Text2"/>
        <w:ind w:left="0"/>
      </w:pPr>
      <w:r>
        <w:t xml:space="preserve">In the future, after the adoption of this regulation, the </w:t>
      </w:r>
      <w:r w:rsidR="001679AD">
        <w:t>Implementing Regulation</w:t>
      </w:r>
      <w:r>
        <w:t xml:space="preserve"> on standard forms should be amended more often than in the past (e.g. every one or two years instead of every four</w:t>
      </w:r>
      <w:r>
        <w:rPr>
          <w:rStyle w:val="FootnoteReference"/>
        </w:rPr>
        <w:footnoteReference w:id="2"/>
      </w:r>
      <w:r>
        <w:t xml:space="preserve">). However, these changes should consist of minor "bug-fixing" changes, not major reforms. This more agile approach is appropriate for an IT environment, which eForms are unavoidably part of, and will avoid the current situation where problems often go unsolved for years. Such an approach also corresponds well with the flexibility given by the advisory procedure, an administratively light procedure, which is used for adopting the act. </w:t>
      </w:r>
    </w:p>
    <w:p w14:paraId="61230678" w14:textId="77777777" w:rsidR="004311C5" w:rsidRDefault="004311C5" w:rsidP="004311C5">
      <w:pPr>
        <w:pStyle w:val="Text2"/>
        <w:ind w:left="0"/>
      </w:pPr>
      <w:r>
        <w:t xml:space="preserve">It is worth emphasizing that, currently, besides infrequent legal changes, there are also twice-per-year technical changes which are done to the IT implementation of the standard forms. </w:t>
      </w:r>
      <w:r>
        <w:rPr>
          <w:lang w:val="en-US"/>
        </w:rPr>
        <w:t xml:space="preserve">This process is led by </w:t>
      </w:r>
      <w:r>
        <w:t xml:space="preserve">the Publications Office of the EU, in cooperation with the national e-senders. Aligning the processes of legal and technical changes more closely will lead to higher quality of both. Both of these processes will also be part of a broader governance framework, building on the Publications Office's current work with eSenders, which will ensure that needs and problems are accurately and rapidly collected and resolved. </w:t>
      </w:r>
    </w:p>
    <w:p w14:paraId="17BC0E3A" w14:textId="6BAB8B2C" w:rsidR="004311C5" w:rsidRDefault="004311C5" w:rsidP="004311C5">
      <w:pPr>
        <w:pStyle w:val="Text2"/>
        <w:ind w:left="0"/>
      </w:pPr>
      <w:r>
        <w:t>Besides allowing technical improvement to the standard forms, this responsive approach to legislation will also allow Member States to innovate in the area of data while respecting the Directives' provision that "Notices published at national level shall not contain information other than that contained in the notices dispatched to the Publications Office of the European Union</w:t>
      </w:r>
      <w:r w:rsidR="007A75E3">
        <w:t>.</w:t>
      </w:r>
      <w:r>
        <w:t>"</w:t>
      </w:r>
      <w:r>
        <w:rPr>
          <w:rStyle w:val="FootnoteReference"/>
        </w:rPr>
        <w:footnoteReference w:id="3"/>
      </w:r>
      <w:r>
        <w:t xml:space="preserve"> Specifically, Member States will be able to add fields at national level, because these will then be added (as optional) also at the EU level</w:t>
      </w:r>
      <w:r w:rsidR="00217D8D">
        <w:rPr>
          <w:rStyle w:val="FootnoteReference"/>
        </w:rPr>
        <w:footnoteReference w:id="4"/>
      </w:r>
      <w:r>
        <w:t xml:space="preserve">. Thus, equal treatment for companies will be ensured while Member States will be able to innovate for the sake of competition and transparency. </w:t>
      </w:r>
    </w:p>
    <w:p w14:paraId="39921DC7" w14:textId="2CFC7F32" w:rsidR="00A763E4" w:rsidRDefault="004311C5" w:rsidP="000033A0">
      <w:pPr>
        <w:spacing w:after="0"/>
        <w:jc w:val="left"/>
        <w:rPr>
          <w:rStyle w:val="Heading2Char"/>
          <w:b w:val="0"/>
        </w:rPr>
      </w:pPr>
      <w:r>
        <w:t xml:space="preserve">The fact that such fields will be optional at EU level means that for other Member States, their addition into the </w:t>
      </w:r>
      <w:r w:rsidR="001679AD">
        <w:t>Implementing Regulation</w:t>
      </w:r>
      <w:r>
        <w:t xml:space="preserve"> will not imply additional costs, as nothing will need to be changed in their software systems.</w:t>
      </w:r>
      <w:r w:rsidR="003B62CA">
        <w:br w:type="page"/>
      </w:r>
      <w:r w:rsidR="00A763E4" w:rsidRPr="00365F90">
        <w:rPr>
          <w:rStyle w:val="Heading2Char"/>
        </w:rPr>
        <w:t>Annex I – Submitting feedback</w:t>
      </w:r>
    </w:p>
    <w:p w14:paraId="2E91E37F" w14:textId="15F9BD8F" w:rsidR="008C312E" w:rsidRDefault="008C312E" w:rsidP="000033A0">
      <w:pPr>
        <w:spacing w:after="0"/>
        <w:jc w:val="left"/>
        <w:rPr>
          <w:rStyle w:val="Heading2Char"/>
          <w:b w:val="0"/>
        </w:rPr>
      </w:pPr>
    </w:p>
    <w:p w14:paraId="1FBDC614" w14:textId="69DEAF6B" w:rsidR="005E19FD" w:rsidRDefault="005E19FD" w:rsidP="00365F90">
      <w:pPr>
        <w:pStyle w:val="Text2"/>
        <w:spacing w:after="0"/>
        <w:ind w:left="0"/>
      </w:pPr>
      <w:r>
        <w:t xml:space="preserve">You may submit feedback in two ways: </w:t>
      </w:r>
    </w:p>
    <w:p w14:paraId="03FFFBC9" w14:textId="13887842" w:rsidR="002043BC" w:rsidRDefault="005E19FD" w:rsidP="00365F90">
      <w:pPr>
        <w:pStyle w:val="Text2"/>
        <w:numPr>
          <w:ilvl w:val="0"/>
          <w:numId w:val="68"/>
        </w:numPr>
        <w:spacing w:after="0"/>
      </w:pPr>
      <w:r>
        <w:t xml:space="preserve">Using </w:t>
      </w:r>
      <w:hyperlink r:id="rId15" w:history="1">
        <w:r w:rsidR="002043BC" w:rsidRPr="0075279F">
          <w:rPr>
            <w:rStyle w:val="Hyperlink"/>
          </w:rPr>
          <w:t>ec.europa.eu/info/law/better-regulation/initiatives_en</w:t>
        </w:r>
      </w:hyperlink>
      <w:r>
        <w:t>.</w:t>
      </w:r>
      <w:r w:rsidR="002043BC">
        <w:t xml:space="preserve"> </w:t>
      </w:r>
    </w:p>
    <w:p w14:paraId="076D6FAF" w14:textId="625CACBA" w:rsidR="005E19FD" w:rsidRDefault="005E19FD" w:rsidP="00365F90">
      <w:pPr>
        <w:pStyle w:val="Text2"/>
        <w:numPr>
          <w:ilvl w:val="0"/>
          <w:numId w:val="68"/>
        </w:numPr>
      </w:pPr>
      <w:r>
        <w:t xml:space="preserve">Using </w:t>
      </w:r>
      <w:hyperlink r:id="rId16" w:history="1">
        <w:r w:rsidRPr="00007C19">
          <w:rPr>
            <w:rStyle w:val="Hyperlink"/>
            <w:szCs w:val="24"/>
          </w:rPr>
          <w:t>github.com/eForms/eForms</w:t>
        </w:r>
      </w:hyperlink>
      <w:r>
        <w:rPr>
          <w:rStyle w:val="Hyperlink"/>
          <w:szCs w:val="24"/>
        </w:rPr>
        <w:t>.</w:t>
      </w:r>
    </w:p>
    <w:p w14:paraId="41152EB3" w14:textId="77777777" w:rsidR="00632881" w:rsidRDefault="00773A34" w:rsidP="002043BC">
      <w:pPr>
        <w:pStyle w:val="Text2"/>
        <w:ind w:left="0"/>
        <w:rPr>
          <w:szCs w:val="24"/>
        </w:rPr>
      </w:pPr>
      <w:r>
        <w:t xml:space="preserve">GitHub is a particularly </w:t>
      </w:r>
      <w:r w:rsidR="000B7729">
        <w:t xml:space="preserve">useful </w:t>
      </w:r>
      <w:r>
        <w:t xml:space="preserve">tool for this complex project, </w:t>
      </w:r>
      <w:r w:rsidRPr="00D15AC2">
        <w:rPr>
          <w:szCs w:val="24"/>
        </w:rPr>
        <w:t>because it allo</w:t>
      </w:r>
      <w:r>
        <w:rPr>
          <w:szCs w:val="24"/>
        </w:rPr>
        <w:t>ws discussing issues one by one,</w:t>
      </w:r>
      <w:r w:rsidRPr="00D15AC2">
        <w:rPr>
          <w:szCs w:val="24"/>
        </w:rPr>
        <w:t xml:space="preserve"> enables exc</w:t>
      </w:r>
      <w:r>
        <w:rPr>
          <w:szCs w:val="24"/>
        </w:rPr>
        <w:t>hanges between all participants,</w:t>
      </w:r>
      <w:r w:rsidRPr="00D15AC2">
        <w:rPr>
          <w:szCs w:val="24"/>
        </w:rPr>
        <w:t xml:space="preserve"> and helps keep track of </w:t>
      </w:r>
      <w:r>
        <w:rPr>
          <w:szCs w:val="24"/>
        </w:rPr>
        <w:t xml:space="preserve">different topics </w:t>
      </w:r>
      <w:r w:rsidRPr="00D15AC2">
        <w:rPr>
          <w:szCs w:val="24"/>
        </w:rPr>
        <w:t>easily and transparently</w:t>
      </w:r>
      <w:r>
        <w:rPr>
          <w:szCs w:val="24"/>
        </w:rPr>
        <w:t xml:space="preserve">. </w:t>
      </w:r>
    </w:p>
    <w:p w14:paraId="34274010" w14:textId="0D3EE649" w:rsidR="00773A34" w:rsidRDefault="00773A34" w:rsidP="002043BC">
      <w:pPr>
        <w:pStyle w:val="Text2"/>
        <w:ind w:left="0"/>
      </w:pPr>
      <w:bookmarkStart w:id="1" w:name="_GoBack"/>
      <w:bookmarkEnd w:id="1"/>
      <w:r w:rsidRPr="00365F90">
        <w:rPr>
          <w:b/>
        </w:rPr>
        <w:t>If possible, please submit your feedback via GitHub.</w:t>
      </w:r>
      <w:r>
        <w:t xml:space="preserve"> </w:t>
      </w:r>
    </w:p>
    <w:p w14:paraId="597E261D" w14:textId="1743CC48" w:rsidR="00753153" w:rsidRDefault="00CC429F" w:rsidP="00365F90">
      <w:pPr>
        <w:pStyle w:val="Text2"/>
        <w:spacing w:after="0"/>
        <w:ind w:left="0"/>
      </w:pPr>
      <w:r>
        <w:t>The files for feedback are</w:t>
      </w:r>
      <w:r w:rsidR="00753153">
        <w:t>:</w:t>
      </w:r>
      <w:r>
        <w:t xml:space="preserve"> </w:t>
      </w:r>
    </w:p>
    <w:p w14:paraId="56837A05" w14:textId="0F368E05" w:rsidR="00AB3D07" w:rsidRDefault="00AB3D07" w:rsidP="00AB3D07">
      <w:pPr>
        <w:pStyle w:val="Participants"/>
        <w:numPr>
          <w:ilvl w:val="0"/>
          <w:numId w:val="69"/>
        </w:numPr>
        <w:tabs>
          <w:tab w:val="clear" w:pos="2552"/>
          <w:tab w:val="clear" w:pos="2835"/>
          <w:tab w:val="left" w:pos="993"/>
          <w:tab w:val="left" w:pos="2127"/>
        </w:tabs>
        <w:spacing w:before="0"/>
      </w:pPr>
      <w:r>
        <w:t>Draft Implementing Regulation (for adoption)</w:t>
      </w:r>
    </w:p>
    <w:p w14:paraId="50F07B2D" w14:textId="3BCB71CA" w:rsidR="00AB3D07" w:rsidRDefault="00AB3D07" w:rsidP="00AB3D07">
      <w:pPr>
        <w:pStyle w:val="Participants"/>
        <w:numPr>
          <w:ilvl w:val="0"/>
          <w:numId w:val="69"/>
        </w:numPr>
        <w:tabs>
          <w:tab w:val="clear" w:pos="2552"/>
          <w:tab w:val="clear" w:pos="2835"/>
          <w:tab w:val="left" w:pos="993"/>
          <w:tab w:val="left" w:pos="2127"/>
        </w:tabs>
        <w:spacing w:before="0"/>
      </w:pPr>
      <w:r>
        <w:t>Draft Annex to the Implementing Regulation (for adoption)</w:t>
      </w:r>
    </w:p>
    <w:p w14:paraId="14C6BBAA" w14:textId="59B1F227" w:rsidR="00753153" w:rsidRDefault="00AB3D07" w:rsidP="00365F90">
      <w:pPr>
        <w:pStyle w:val="Participants"/>
        <w:numPr>
          <w:ilvl w:val="0"/>
          <w:numId w:val="69"/>
        </w:numPr>
        <w:tabs>
          <w:tab w:val="clear" w:pos="2552"/>
          <w:tab w:val="clear" w:pos="2835"/>
          <w:tab w:val="left" w:pos="993"/>
          <w:tab w:val="left" w:pos="2127"/>
        </w:tabs>
        <w:spacing w:before="0"/>
        <w:rPr>
          <w:szCs w:val="24"/>
        </w:rPr>
      </w:pPr>
      <w:r>
        <w:t xml:space="preserve">Spreadsheet version of the draft Annex to the Implementing Regulation </w:t>
      </w:r>
      <w:r w:rsidR="00FF5B39">
        <w:br/>
      </w:r>
      <w:r>
        <w:t>(We recommend using this easier-to-read file to read the Annex.</w:t>
      </w:r>
      <w:r w:rsidR="00FF5B39">
        <w:t xml:space="preserve"> </w:t>
      </w:r>
      <w:r w:rsidR="009668D1">
        <w:br/>
      </w:r>
      <w:r w:rsidR="00FF5B39">
        <w:t>T</w:t>
      </w:r>
      <w:r w:rsidR="00C1385C">
        <w:rPr>
          <w:szCs w:val="24"/>
        </w:rPr>
        <w:t>o benefit from</w:t>
      </w:r>
      <w:r w:rsidR="001F4F78">
        <w:rPr>
          <w:szCs w:val="24"/>
        </w:rPr>
        <w:t xml:space="preserve"> functionalities such as </w:t>
      </w:r>
      <w:r w:rsidR="00C1385C">
        <w:rPr>
          <w:szCs w:val="24"/>
        </w:rPr>
        <w:t>filtering</w:t>
      </w:r>
      <w:r w:rsidR="001F4F78">
        <w:rPr>
          <w:szCs w:val="24"/>
        </w:rPr>
        <w:t xml:space="preserve"> and</w:t>
      </w:r>
      <w:r w:rsidR="00C1385C">
        <w:rPr>
          <w:szCs w:val="24"/>
        </w:rPr>
        <w:t xml:space="preserve"> zooming, </w:t>
      </w:r>
      <w:r w:rsidR="00974F62">
        <w:rPr>
          <w:szCs w:val="24"/>
        </w:rPr>
        <w:t xml:space="preserve">we </w:t>
      </w:r>
      <w:r w:rsidR="00FF5B39">
        <w:rPr>
          <w:szCs w:val="24"/>
        </w:rPr>
        <w:t xml:space="preserve">also </w:t>
      </w:r>
      <w:r w:rsidR="001F4F78">
        <w:rPr>
          <w:szCs w:val="24"/>
        </w:rPr>
        <w:t xml:space="preserve">strongly </w:t>
      </w:r>
      <w:r w:rsidR="00974F62">
        <w:rPr>
          <w:szCs w:val="24"/>
        </w:rPr>
        <w:t xml:space="preserve">suggest </w:t>
      </w:r>
      <w:r w:rsidR="0097564C">
        <w:rPr>
          <w:szCs w:val="24"/>
        </w:rPr>
        <w:t xml:space="preserve">reading </w:t>
      </w:r>
      <w:r w:rsidR="001F4F78">
        <w:rPr>
          <w:szCs w:val="24"/>
        </w:rPr>
        <w:t>the document</w:t>
      </w:r>
      <w:r w:rsidR="00647D8F">
        <w:rPr>
          <w:szCs w:val="24"/>
        </w:rPr>
        <w:t xml:space="preserve"> </w:t>
      </w:r>
      <w:r w:rsidR="0097564C">
        <w:rPr>
          <w:szCs w:val="24"/>
        </w:rPr>
        <w:t xml:space="preserve">on </w:t>
      </w:r>
      <w:r w:rsidR="00974F62">
        <w:rPr>
          <w:szCs w:val="24"/>
        </w:rPr>
        <w:t xml:space="preserve">a </w:t>
      </w:r>
      <w:r w:rsidR="0097564C">
        <w:rPr>
          <w:szCs w:val="24"/>
        </w:rPr>
        <w:t>computer, not printing it out</w:t>
      </w:r>
      <w:r w:rsidR="00647D8F">
        <w:rPr>
          <w:szCs w:val="24"/>
        </w:rPr>
        <w:t>.)</w:t>
      </w:r>
      <w:r w:rsidR="00974F62">
        <w:rPr>
          <w:szCs w:val="24"/>
        </w:rPr>
        <w:t xml:space="preserve"> </w:t>
      </w:r>
    </w:p>
    <w:p w14:paraId="06D5C733" w14:textId="502E7616" w:rsidR="00302EEE" w:rsidRDefault="00302EEE" w:rsidP="00307E44">
      <w:pPr>
        <w:spacing w:after="0"/>
      </w:pPr>
    </w:p>
    <w:p w14:paraId="21750110" w14:textId="3AAEE996" w:rsidR="00302EEE" w:rsidRPr="00302EEE" w:rsidRDefault="00302EEE" w:rsidP="00302EEE">
      <w:pPr>
        <w:spacing w:after="0"/>
      </w:pPr>
      <w:r>
        <w:t xml:space="preserve">Additionally, we offer </w:t>
      </w:r>
      <w:r w:rsidR="00C62F91">
        <w:t xml:space="preserve">the following files </w:t>
      </w:r>
      <w:r>
        <w:t>for technical feedback</w:t>
      </w:r>
      <w:r w:rsidR="00C62F91">
        <w:t xml:space="preserve"> (on GitHub only): </w:t>
      </w:r>
      <w:r>
        <w:t xml:space="preserve"> </w:t>
      </w:r>
    </w:p>
    <w:p w14:paraId="6D5366C9" w14:textId="38E2CEE9" w:rsidR="00AB3D07" w:rsidRDefault="00AB3D07" w:rsidP="00AB3D07">
      <w:pPr>
        <w:pStyle w:val="Participants"/>
        <w:numPr>
          <w:ilvl w:val="0"/>
          <w:numId w:val="69"/>
        </w:numPr>
        <w:tabs>
          <w:tab w:val="clear" w:pos="2552"/>
          <w:tab w:val="clear" w:pos="2835"/>
          <w:tab w:val="left" w:pos="993"/>
          <w:tab w:val="left" w:pos="2127"/>
        </w:tabs>
        <w:spacing w:before="0"/>
      </w:pPr>
      <w:r>
        <w:t>Draft codelists (lists of codes that must be used as replies to certain fields established in the Annex</w:t>
      </w:r>
      <w:r w:rsidR="00365F90">
        <w:t xml:space="preserve">; used in technical </w:t>
      </w:r>
      <w:r w:rsidR="00B627E0">
        <w:t>implementation</w:t>
      </w:r>
      <w:r>
        <w:t xml:space="preserve">) </w:t>
      </w:r>
    </w:p>
    <w:p w14:paraId="3A9C0022" w14:textId="68F0529F" w:rsidR="00AB3D07" w:rsidRDefault="00B627E0" w:rsidP="00365F90">
      <w:pPr>
        <w:pStyle w:val="Participants"/>
        <w:numPr>
          <w:ilvl w:val="0"/>
          <w:numId w:val="69"/>
        </w:numPr>
        <w:tabs>
          <w:tab w:val="clear" w:pos="2552"/>
          <w:tab w:val="clear" w:pos="2835"/>
          <w:tab w:val="left" w:pos="993"/>
          <w:tab w:val="left" w:pos="2127"/>
        </w:tabs>
        <w:spacing w:before="0"/>
      </w:pPr>
      <w:r>
        <w:t>Preliminary d</w:t>
      </w:r>
      <w:r w:rsidR="00AB3D07">
        <w:t>raft business rules (lists of rules applied to notices to ensure their quality, consistency, etc.</w:t>
      </w:r>
      <w:r w:rsidR="00365F90">
        <w:t>; used in technical implementation</w:t>
      </w:r>
      <w:r w:rsidR="00AB3D07">
        <w:t xml:space="preserve">) </w:t>
      </w:r>
    </w:p>
    <w:p w14:paraId="384B4E68" w14:textId="43DE1A19" w:rsidR="0043308E" w:rsidRPr="00AB3D07" w:rsidRDefault="0043308E" w:rsidP="00365F90">
      <w:pPr>
        <w:pStyle w:val="Participants"/>
        <w:tabs>
          <w:tab w:val="clear" w:pos="2552"/>
          <w:tab w:val="clear" w:pos="2835"/>
          <w:tab w:val="left" w:pos="993"/>
          <w:tab w:val="left" w:pos="2127"/>
        </w:tabs>
        <w:spacing w:before="0"/>
      </w:pPr>
      <w:r w:rsidRPr="00AB3D07">
        <w:rPr>
          <w:szCs w:val="24"/>
        </w:rPr>
        <w:t xml:space="preserve"> </w:t>
      </w:r>
      <w:r w:rsidR="0097564C" w:rsidRPr="00AB3D07">
        <w:rPr>
          <w:szCs w:val="24"/>
        </w:rPr>
        <w:t xml:space="preserve"> </w:t>
      </w:r>
    </w:p>
    <w:p w14:paraId="50C94665" w14:textId="77777777" w:rsidR="00DB33C2" w:rsidRDefault="00DB33C2" w:rsidP="00365F90">
      <w:pPr>
        <w:pStyle w:val="Heading3"/>
        <w:keepLines/>
        <w:numPr>
          <w:ilvl w:val="0"/>
          <w:numId w:val="0"/>
        </w:numPr>
        <w:spacing w:before="40" w:after="0"/>
        <w:jc w:val="left"/>
      </w:pPr>
      <w:r>
        <w:t>Using GitHub</w:t>
      </w:r>
    </w:p>
    <w:p w14:paraId="549E69C8" w14:textId="77777777" w:rsidR="00DB33C2" w:rsidRPr="001029FF" w:rsidRDefault="00DB33C2" w:rsidP="00365F90">
      <w:pPr>
        <w:pStyle w:val="ListParagraph"/>
        <w:numPr>
          <w:ilvl w:val="0"/>
          <w:numId w:val="61"/>
        </w:numPr>
        <w:spacing w:after="0"/>
        <w:ind w:left="360"/>
        <w:jc w:val="both"/>
        <w:rPr>
          <w:rFonts w:ascii="Times New Roman" w:hAnsi="Times New Roman"/>
          <w:sz w:val="24"/>
          <w:szCs w:val="24"/>
        </w:rPr>
      </w:pPr>
      <w:r w:rsidRPr="001029FF">
        <w:rPr>
          <w:rFonts w:ascii="Times New Roman" w:hAnsi="Times New Roman"/>
          <w:sz w:val="24"/>
          <w:szCs w:val="24"/>
        </w:rPr>
        <w:t xml:space="preserve">Go to </w:t>
      </w:r>
      <w:hyperlink r:id="rId17" w:history="1">
        <w:r w:rsidRPr="0091793A">
          <w:rPr>
            <w:rStyle w:val="Hyperlink"/>
            <w:rFonts w:ascii="Times New Roman" w:hAnsi="Times New Roman"/>
            <w:sz w:val="24"/>
            <w:szCs w:val="24"/>
          </w:rPr>
          <w:t>github.com/eForms/eForms</w:t>
        </w:r>
      </w:hyperlink>
      <w:r w:rsidRPr="001029FF">
        <w:rPr>
          <w:rFonts w:ascii="Times New Roman" w:hAnsi="Times New Roman"/>
          <w:sz w:val="24"/>
          <w:szCs w:val="24"/>
        </w:rPr>
        <w:t xml:space="preserve">, click "Sign up" and follow the instructions. For easier communication, we suggest using your name and surname </w:t>
      </w:r>
      <w:r w:rsidRPr="001029FF">
        <w:rPr>
          <w:rFonts w:ascii="Times New Roman" w:hAnsi="Times New Roman"/>
          <w:sz w:val="24"/>
          <w:szCs w:val="24"/>
          <w:lang w:val="en-US"/>
        </w:rPr>
        <w:t xml:space="preserve">as </w:t>
      </w:r>
      <w:r w:rsidRPr="001029FF">
        <w:rPr>
          <w:rFonts w:ascii="Times New Roman" w:hAnsi="Times New Roman"/>
          <w:sz w:val="24"/>
          <w:szCs w:val="24"/>
        </w:rPr>
        <w:t>"Username".</w:t>
      </w:r>
    </w:p>
    <w:p w14:paraId="5C4CF65F" w14:textId="2511BFD8" w:rsidR="00DB33C2" w:rsidRPr="001029FF" w:rsidRDefault="00DB33C2" w:rsidP="00365F90">
      <w:pPr>
        <w:pStyle w:val="ListParagraph"/>
        <w:numPr>
          <w:ilvl w:val="0"/>
          <w:numId w:val="61"/>
        </w:numPr>
        <w:spacing w:after="0"/>
        <w:ind w:left="360"/>
        <w:jc w:val="both"/>
        <w:rPr>
          <w:rFonts w:ascii="Times New Roman" w:hAnsi="Times New Roman"/>
          <w:sz w:val="24"/>
          <w:szCs w:val="24"/>
        </w:rPr>
      </w:pPr>
      <w:r>
        <w:rPr>
          <w:rFonts w:ascii="Times New Roman" w:hAnsi="Times New Roman"/>
          <w:sz w:val="24"/>
          <w:szCs w:val="24"/>
        </w:rPr>
        <w:t xml:space="preserve">Again at </w:t>
      </w:r>
      <w:hyperlink r:id="rId18" w:history="1">
        <w:r w:rsidRPr="0091793A">
          <w:rPr>
            <w:rStyle w:val="Hyperlink"/>
            <w:rFonts w:ascii="Times New Roman" w:hAnsi="Times New Roman"/>
            <w:sz w:val="24"/>
            <w:szCs w:val="24"/>
          </w:rPr>
          <w:t>github.com/eForms/eForms</w:t>
        </w:r>
      </w:hyperlink>
      <w:r>
        <w:rPr>
          <w:rFonts w:ascii="Times New Roman" w:hAnsi="Times New Roman"/>
          <w:sz w:val="24"/>
          <w:szCs w:val="24"/>
        </w:rPr>
        <w:t xml:space="preserve">, </w:t>
      </w:r>
      <w:r w:rsidRPr="001029FF">
        <w:rPr>
          <w:rFonts w:ascii="Times New Roman" w:hAnsi="Times New Roman"/>
          <w:sz w:val="24"/>
          <w:szCs w:val="24"/>
        </w:rPr>
        <w:t xml:space="preserve">you can download the </w:t>
      </w:r>
      <w:r w:rsidRPr="005F4D7B">
        <w:rPr>
          <w:rFonts w:ascii="Times New Roman" w:hAnsi="Times New Roman"/>
          <w:sz w:val="24"/>
          <w:szCs w:val="24"/>
        </w:rPr>
        <w:t xml:space="preserve">consultation </w:t>
      </w:r>
      <w:r w:rsidR="00041A14" w:rsidRPr="005F4D7B">
        <w:rPr>
          <w:rFonts w:ascii="Times New Roman" w:hAnsi="Times New Roman"/>
          <w:sz w:val="24"/>
          <w:szCs w:val="24"/>
        </w:rPr>
        <w:t xml:space="preserve">documents </w:t>
      </w:r>
      <w:r>
        <w:rPr>
          <w:rFonts w:ascii="Times New Roman" w:hAnsi="Times New Roman"/>
          <w:sz w:val="24"/>
          <w:szCs w:val="24"/>
        </w:rPr>
        <w:t>in the bottom left</w:t>
      </w:r>
      <w:r w:rsidRPr="001029FF">
        <w:rPr>
          <w:rFonts w:ascii="Times New Roman" w:hAnsi="Times New Roman"/>
          <w:sz w:val="24"/>
          <w:szCs w:val="24"/>
        </w:rPr>
        <w:t>.</w:t>
      </w:r>
      <w:r>
        <w:rPr>
          <w:rFonts w:ascii="Times New Roman" w:hAnsi="Times New Roman"/>
          <w:sz w:val="24"/>
          <w:szCs w:val="24"/>
        </w:rPr>
        <w:t xml:space="preserve"> </w:t>
      </w:r>
      <w:r w:rsidRPr="001029FF">
        <w:rPr>
          <w:rFonts w:ascii="Times New Roman" w:hAnsi="Times New Roman"/>
          <w:sz w:val="24"/>
          <w:szCs w:val="24"/>
        </w:rPr>
        <w:t>In the top right, you can choose your email notification settings.</w:t>
      </w:r>
    </w:p>
    <w:p w14:paraId="0F9476C0" w14:textId="7F9DDF94" w:rsidR="00DB33C2" w:rsidRDefault="00DB33C2" w:rsidP="00365F90">
      <w:pPr>
        <w:pStyle w:val="ListParagraph"/>
        <w:numPr>
          <w:ilvl w:val="0"/>
          <w:numId w:val="61"/>
        </w:numPr>
        <w:spacing w:after="0"/>
        <w:ind w:left="360"/>
        <w:jc w:val="both"/>
        <w:rPr>
          <w:rFonts w:ascii="Times New Roman" w:hAnsi="Times New Roman"/>
          <w:sz w:val="24"/>
          <w:szCs w:val="24"/>
        </w:rPr>
      </w:pPr>
      <w:r w:rsidRPr="001029FF">
        <w:rPr>
          <w:rFonts w:ascii="Times New Roman" w:hAnsi="Times New Roman"/>
          <w:sz w:val="24"/>
          <w:szCs w:val="24"/>
        </w:rPr>
        <w:t>If you would like to comment (</w:t>
      </w:r>
      <w:r w:rsidR="00DA6B1C">
        <w:rPr>
          <w:rFonts w:ascii="Times New Roman" w:hAnsi="Times New Roman"/>
          <w:sz w:val="24"/>
          <w:szCs w:val="24"/>
        </w:rPr>
        <w:t>e.g. to suggest a change</w:t>
      </w:r>
      <w:r w:rsidRPr="001029FF">
        <w:rPr>
          <w:rFonts w:ascii="Times New Roman" w:hAnsi="Times New Roman"/>
          <w:sz w:val="24"/>
          <w:szCs w:val="24"/>
        </w:rPr>
        <w:t xml:space="preserve">), </w:t>
      </w:r>
      <w:r>
        <w:rPr>
          <w:rFonts w:ascii="Times New Roman" w:hAnsi="Times New Roman"/>
          <w:sz w:val="24"/>
          <w:szCs w:val="24"/>
        </w:rPr>
        <w:t>click "Issues". There, y</w:t>
      </w:r>
      <w:r w:rsidRPr="001029FF">
        <w:rPr>
          <w:rFonts w:ascii="Times New Roman" w:hAnsi="Times New Roman"/>
          <w:sz w:val="24"/>
          <w:szCs w:val="24"/>
        </w:rPr>
        <w:t>ou can open new issues by clicking on "New issue"</w:t>
      </w:r>
      <w:r>
        <w:rPr>
          <w:rFonts w:ascii="Times New Roman" w:hAnsi="Times New Roman"/>
          <w:sz w:val="24"/>
          <w:szCs w:val="24"/>
        </w:rPr>
        <w:t>. Also, you can</w:t>
      </w:r>
      <w:r w:rsidRPr="001029FF">
        <w:rPr>
          <w:rFonts w:ascii="Times New Roman" w:hAnsi="Times New Roman"/>
          <w:sz w:val="24"/>
          <w:szCs w:val="24"/>
        </w:rPr>
        <w:t xml:space="preserve"> </w:t>
      </w:r>
      <w:r>
        <w:rPr>
          <w:rFonts w:ascii="Times New Roman" w:hAnsi="Times New Roman"/>
          <w:sz w:val="24"/>
          <w:szCs w:val="24"/>
        </w:rPr>
        <w:t xml:space="preserve">comment on </w:t>
      </w:r>
      <w:r w:rsidRPr="001029FF">
        <w:rPr>
          <w:rFonts w:ascii="Times New Roman" w:hAnsi="Times New Roman"/>
          <w:sz w:val="24"/>
          <w:szCs w:val="24"/>
        </w:rPr>
        <w:t>issues already opened</w:t>
      </w:r>
      <w:r>
        <w:rPr>
          <w:rFonts w:ascii="Times New Roman" w:hAnsi="Times New Roman"/>
          <w:sz w:val="24"/>
          <w:szCs w:val="24"/>
        </w:rPr>
        <w:t xml:space="preserve"> by others by scrolling or searching</w:t>
      </w:r>
      <w:r w:rsidRPr="001029FF">
        <w:rPr>
          <w:rFonts w:ascii="Times New Roman" w:hAnsi="Times New Roman"/>
          <w:sz w:val="24"/>
          <w:szCs w:val="24"/>
        </w:rPr>
        <w:t xml:space="preserve">. </w:t>
      </w:r>
    </w:p>
    <w:p w14:paraId="4D9C6E3A" w14:textId="77777777" w:rsidR="00DB33C2" w:rsidRDefault="00DB33C2" w:rsidP="00DB33C2">
      <w:pPr>
        <w:spacing w:before="240" w:after="0"/>
        <w:ind w:left="851"/>
        <w:rPr>
          <w:szCs w:val="24"/>
        </w:rPr>
      </w:pPr>
      <w:r>
        <w:rPr>
          <w:noProof/>
          <w:lang w:val="en-US"/>
        </w:rPr>
        <w:drawing>
          <wp:inline distT="0" distB="0" distL="0" distR="0" wp14:anchorId="54B85736" wp14:editId="64E24913">
            <wp:extent cx="4394200" cy="40958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4200" cy="4095830"/>
                    </a:xfrm>
                    <a:prstGeom prst="rect">
                      <a:avLst/>
                    </a:prstGeom>
                  </pic:spPr>
                </pic:pic>
              </a:graphicData>
            </a:graphic>
          </wp:inline>
        </w:drawing>
      </w:r>
      <w:r>
        <w:rPr>
          <w:noProof/>
          <w:lang w:eastAsia="en-GB"/>
        </w:rPr>
        <w:t xml:space="preserve">  </w:t>
      </w:r>
      <w:r>
        <w:rPr>
          <w:szCs w:val="24"/>
        </w:rPr>
        <w:t xml:space="preserve"> </w:t>
      </w:r>
      <w:r>
        <w:rPr>
          <w:szCs w:val="24"/>
        </w:rPr>
        <w:br w:type="page"/>
      </w:r>
    </w:p>
    <w:p w14:paraId="053D960B" w14:textId="77777777" w:rsidR="00DB33C2" w:rsidRDefault="00DB33C2" w:rsidP="00DB33C2">
      <w:pPr>
        <w:spacing w:after="0"/>
      </w:pPr>
      <w:r>
        <w:rPr>
          <w:noProof/>
          <w:lang w:val="en-US"/>
        </w:rPr>
        <mc:AlternateContent>
          <mc:Choice Requires="wps">
            <w:drawing>
              <wp:anchor distT="0" distB="0" distL="114300" distR="114300" simplePos="0" relativeHeight="251659264" behindDoc="0" locked="0" layoutInCell="1" allowOverlap="1" wp14:anchorId="175F892C" wp14:editId="098DC318">
                <wp:simplePos x="0" y="0"/>
                <wp:positionH relativeFrom="column">
                  <wp:align>center</wp:align>
                </wp:positionH>
                <wp:positionV relativeFrom="paragraph">
                  <wp:posOffset>1905</wp:posOffset>
                </wp:positionV>
                <wp:extent cx="5677535" cy="39243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392430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0359AE53" w14:textId="77777777" w:rsidR="00B21BBC" w:rsidRDefault="00B21BBC" w:rsidP="00DB33C2">
                            <w:pPr>
                              <w:spacing w:after="0"/>
                              <w:rPr>
                                <w:rStyle w:val="IntenseEmphasis"/>
                                <w:rFonts w:asciiTheme="majorHAnsi" w:eastAsiaTheme="majorEastAsia" w:hAnsiTheme="majorHAnsi" w:cstheme="majorBidi"/>
                                <w:spacing w:val="15"/>
                                <w:szCs w:val="24"/>
                              </w:rPr>
                            </w:pPr>
                            <w:r>
                              <w:rPr>
                                <w:rStyle w:val="IntenseEmphasis"/>
                                <w:rFonts w:asciiTheme="majorHAnsi" w:eastAsiaTheme="majorEastAsia" w:hAnsiTheme="majorHAnsi" w:cstheme="majorBidi"/>
                                <w:spacing w:val="15"/>
                                <w:szCs w:val="24"/>
                              </w:rPr>
                              <w:t>How to name your issue?</w:t>
                            </w:r>
                          </w:p>
                          <w:p w14:paraId="22815ECD" w14:textId="57DF79F1" w:rsidR="00B21BBC" w:rsidRDefault="00B21BBC" w:rsidP="00DB33C2">
                            <w:pPr>
                              <w:spacing w:after="0"/>
                            </w:pPr>
                            <w:r>
                              <w:t xml:space="preserve">To ensure readability, the title of each issue must clearly identify the topic of the issue. In particular, this means including in the title </w:t>
                            </w:r>
                            <w:r w:rsidRPr="00755CDE">
                              <w:t>the following information</w:t>
                            </w:r>
                            <w:r>
                              <w:t>.</w:t>
                            </w:r>
                          </w:p>
                          <w:p w14:paraId="144374D6" w14:textId="77777777" w:rsidR="00B21BBC" w:rsidRDefault="00B21BBC" w:rsidP="00DB33C2">
                            <w:pPr>
                              <w:spacing w:after="0"/>
                            </w:pPr>
                          </w:p>
                          <w:p w14:paraId="581E9E3C" w14:textId="0D73D25E"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 xml:space="preserve">ID (the first column of the </w:t>
                            </w:r>
                            <w:r w:rsidR="00C34FFC">
                              <w:rPr>
                                <w:rFonts w:ascii="Times New Roman" w:hAnsi="Times New Roman"/>
                                <w:sz w:val="24"/>
                                <w:szCs w:val="24"/>
                              </w:rPr>
                              <w:t xml:space="preserve">spreadsheet concerning the </w:t>
                            </w:r>
                            <w:r w:rsidRPr="00365F90">
                              <w:rPr>
                                <w:rFonts w:ascii="Times New Roman" w:hAnsi="Times New Roman"/>
                                <w:sz w:val="24"/>
                                <w:szCs w:val="24"/>
                              </w:rPr>
                              <w:t xml:space="preserve">Annex or Rules) and Name (for the Annex or codelist) to be discussed, e.g. "BT-01 (Legal Basis);"  </w:t>
                            </w:r>
                          </w:p>
                          <w:p w14:paraId="29A953BE" w14:textId="42B6694F"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Name of the column to be discussed (e.g. "Description," or "PIN only D81;")</w:t>
                            </w:r>
                          </w:p>
                          <w:p w14:paraId="5FFE61BC" w14:textId="58945827"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Short summary of the issue (e.g. "Typo", "Inconsistent with other BTs", "rename")</w:t>
                            </w:r>
                          </w:p>
                          <w:p w14:paraId="39A46C8F" w14:textId="613E0FD4"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 xml:space="preserve">Document being commented (if other than the Annex): </w:t>
                            </w:r>
                          </w:p>
                          <w:p w14:paraId="7F9198D9" w14:textId="0A8A7E05" w:rsidR="00B21BBC" w:rsidRPr="00365F90" w:rsidRDefault="00B21BBC" w:rsidP="00E4248F">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[ACT]</w:t>
                            </w:r>
                          </w:p>
                          <w:p w14:paraId="4E06B685" w14:textId="7DE19432" w:rsidR="00B21BBC" w:rsidRPr="00365F90" w:rsidRDefault="00B21BBC" w:rsidP="00365F90">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[CODELIST]</w:t>
                            </w:r>
                          </w:p>
                          <w:p w14:paraId="51FF47AF" w14:textId="1D21596C" w:rsidR="00B21BBC" w:rsidRPr="00365F90" w:rsidRDefault="00B21BBC" w:rsidP="00E4248F">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[RULE]</w:t>
                            </w:r>
                          </w:p>
                          <w:p w14:paraId="3CF84E9A" w14:textId="77777777" w:rsidR="00B21BBC" w:rsidRDefault="00B21BBC" w:rsidP="00DB33C2">
                            <w:pPr>
                              <w:spacing w:after="0"/>
                            </w:pPr>
                          </w:p>
                          <w:p w14:paraId="1CEC339A" w14:textId="0341C90A" w:rsidR="00B21BBC" w:rsidRDefault="00B21BBC" w:rsidP="00DB33C2">
                            <w:r>
                              <w:t xml:space="preserve">For example, a title could be "BT-01 (Legal Basis); Description; Typo" or “Activity Authority; defence listed twice; [CODELIST]” or “BR-33; Description; wrong business term identifier; [RULE].” </w:t>
                            </w:r>
                          </w:p>
                          <w:p w14:paraId="2C8463A1" w14:textId="135142C4" w:rsidR="00B21BBC" w:rsidRDefault="00B21BBC" w:rsidP="00DB33C2">
                            <w:r>
                              <w:t xml:space="preserve">If your issue does not fit the instructions above (e.g. because it is more general), just follow them as far as possible.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5F892C" id="_x0000_t202" coordsize="21600,21600" o:spt="202" path="m,l,21600r21600,l21600,xe">
                <v:stroke joinstyle="miter"/>
                <v:path gradientshapeok="t" o:connecttype="rect"/>
              </v:shapetype>
              <v:shape id="Text Box 2" o:spid="_x0000_s1026" type="#_x0000_t202" style="position:absolute;left:0;text-align:left;margin-left:0;margin-top:.15pt;width:447.05pt;height:30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" fillcolor="#f2f2f2 [3052]" strokecolor="#4f81bd [3204]" strokeweight="2pt">
                <v:textbox>
                  <w:txbxContent>
                    <w:p w14:paraId="0359AE53" w14:textId="77777777" w:rsidR="00B21BBC" w:rsidRDefault="00B21BBC" w:rsidP="00DB33C2">
                      <w:pPr>
                        <w:spacing w:after="0"/>
                        <w:rPr>
                          <w:rStyle w:val="IntenseEmphasis"/>
                          <w:rFonts w:asciiTheme="majorHAnsi" w:eastAsiaTheme="majorEastAsia" w:hAnsiTheme="majorHAnsi" w:cstheme="majorBidi"/>
                          <w:spacing w:val="15"/>
                          <w:szCs w:val="24"/>
                        </w:rPr>
                      </w:pPr>
                      <w:r>
                        <w:rPr>
                          <w:rStyle w:val="IntenseEmphasis"/>
                          <w:rFonts w:asciiTheme="majorHAnsi" w:eastAsiaTheme="majorEastAsia" w:hAnsiTheme="majorHAnsi" w:cstheme="majorBidi"/>
                          <w:spacing w:val="15"/>
                          <w:szCs w:val="24"/>
                        </w:rPr>
                        <w:t>How to name your issue?</w:t>
                      </w:r>
                    </w:p>
                    <w:p w14:paraId="22815ECD" w14:textId="57DF79F1" w:rsidR="00B21BBC" w:rsidRDefault="00B21BBC" w:rsidP="00DB33C2">
                      <w:pPr>
                        <w:spacing w:after="0"/>
                      </w:pPr>
                      <w:r>
                        <w:t xml:space="preserve">To ensure readability, the title of each issue must clearly identify the topic of the issue. In particular, this means including in the title </w:t>
                      </w:r>
                      <w:r w:rsidRPr="00755CDE">
                        <w:t>the following information</w:t>
                      </w:r>
                      <w:r>
                        <w:t>.</w:t>
                      </w:r>
                    </w:p>
                    <w:p w14:paraId="144374D6" w14:textId="77777777" w:rsidR="00B21BBC" w:rsidRDefault="00B21BBC" w:rsidP="00DB33C2">
                      <w:pPr>
                        <w:spacing w:after="0"/>
                      </w:pPr>
                    </w:p>
                    <w:p w14:paraId="581E9E3C" w14:textId="0D73D25E"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 xml:space="preserve">ID (the first column of the </w:t>
                      </w:r>
                      <w:r w:rsidR="00C34FFC">
                        <w:rPr>
                          <w:rFonts w:ascii="Times New Roman" w:hAnsi="Times New Roman"/>
                          <w:sz w:val="24"/>
                          <w:szCs w:val="24"/>
                        </w:rPr>
                        <w:t xml:space="preserve">spreadsheet concerning the </w:t>
                      </w:r>
                      <w:r w:rsidRPr="00365F90">
                        <w:rPr>
                          <w:rFonts w:ascii="Times New Roman" w:hAnsi="Times New Roman"/>
                          <w:sz w:val="24"/>
                          <w:szCs w:val="24"/>
                        </w:rPr>
                        <w:t xml:space="preserve">Annex or Rules) and Name (for the Annex or codelist) to be discussed, e.g. "BT-01 (Legal Basis);"  </w:t>
                      </w:r>
                    </w:p>
                    <w:p w14:paraId="29A953BE" w14:textId="42B6694F"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Name of the column to be discussed (e.g. "Description," or "PIN only D81;")</w:t>
                      </w:r>
                    </w:p>
                    <w:p w14:paraId="5FFE61BC" w14:textId="58945827"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Short summary of the issue (e.g. "Typo", "Inconsistent with other BTs", "rename")</w:t>
                      </w:r>
                    </w:p>
                    <w:p w14:paraId="39A46C8F" w14:textId="613E0FD4" w:rsidR="00B21BBC" w:rsidRPr="00365F90" w:rsidRDefault="00B21BBC" w:rsidP="00DB33C2">
                      <w:pPr>
                        <w:pStyle w:val="ListParagraph"/>
                        <w:numPr>
                          <w:ilvl w:val="0"/>
                          <w:numId w:val="62"/>
                        </w:numPr>
                        <w:spacing w:after="0"/>
                        <w:rPr>
                          <w:rFonts w:ascii="Times New Roman" w:hAnsi="Times New Roman"/>
                          <w:sz w:val="24"/>
                          <w:szCs w:val="24"/>
                        </w:rPr>
                      </w:pPr>
                      <w:r w:rsidRPr="00365F90">
                        <w:rPr>
                          <w:rFonts w:ascii="Times New Roman" w:hAnsi="Times New Roman"/>
                          <w:sz w:val="24"/>
                          <w:szCs w:val="24"/>
                        </w:rPr>
                        <w:t xml:space="preserve">Document being commented (if other than the Annex): </w:t>
                      </w:r>
                    </w:p>
                    <w:p w14:paraId="7F9198D9" w14:textId="0A8A7E05" w:rsidR="00B21BBC" w:rsidRPr="00365F90" w:rsidRDefault="00B21BBC" w:rsidP="00E4248F">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[ACT]</w:t>
                      </w:r>
                    </w:p>
                    <w:p w14:paraId="4E06B685" w14:textId="7DE19432" w:rsidR="00B21BBC" w:rsidRPr="00365F90" w:rsidRDefault="00B21BBC" w:rsidP="00365F90">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[CODELIST]</w:t>
                      </w:r>
                    </w:p>
                    <w:p w14:paraId="51FF47AF" w14:textId="1D21596C" w:rsidR="00B21BBC" w:rsidRPr="00365F90" w:rsidRDefault="00B21BBC" w:rsidP="00E4248F">
                      <w:pPr>
                        <w:pStyle w:val="ListParagraph"/>
                        <w:numPr>
                          <w:ilvl w:val="0"/>
                          <w:numId w:val="66"/>
                        </w:numPr>
                        <w:spacing w:after="0"/>
                        <w:ind w:left="1418"/>
                        <w:rPr>
                          <w:rFonts w:ascii="Times New Roman" w:hAnsi="Times New Roman"/>
                          <w:sz w:val="24"/>
                          <w:szCs w:val="24"/>
                        </w:rPr>
                      </w:pPr>
                      <w:r w:rsidRPr="00365F90">
                        <w:rPr>
                          <w:rFonts w:ascii="Times New Roman" w:hAnsi="Times New Roman"/>
                          <w:sz w:val="24"/>
                          <w:szCs w:val="24"/>
                        </w:rPr>
                        <w:t>[RULE]</w:t>
                      </w:r>
                    </w:p>
                    <w:p w14:paraId="3CF84E9A" w14:textId="77777777" w:rsidR="00B21BBC" w:rsidRDefault="00B21BBC" w:rsidP="00DB33C2">
                      <w:pPr>
                        <w:spacing w:after="0"/>
                      </w:pPr>
                    </w:p>
                    <w:p w14:paraId="1CEC339A" w14:textId="0341C90A" w:rsidR="00B21BBC" w:rsidRDefault="00B21BBC" w:rsidP="00DB33C2">
                      <w:r>
                        <w:t xml:space="preserve">For example, a title could be "BT-01 (Legal Basis); Description; Typo" or “Activity Authority; defence listed twice; [CODELIST]” or “BR-33; Description; wrong business term identifier; [RULE].” </w:t>
                      </w:r>
                    </w:p>
                    <w:p w14:paraId="2C8463A1" w14:textId="135142C4" w:rsidR="00B21BBC" w:rsidRDefault="00B21BBC" w:rsidP="00DB33C2">
                      <w:r>
                        <w:t xml:space="preserve">If your issue does not fit the instructions above (e.g. because it is more general), just follow them as far as possible.  </w:t>
                      </w:r>
                    </w:p>
                  </w:txbxContent>
                </v:textbox>
              </v:shape>
            </w:pict>
          </mc:Fallback>
        </mc:AlternateContent>
      </w:r>
    </w:p>
    <w:p w14:paraId="26B1D7D9" w14:textId="77777777" w:rsidR="00DB33C2" w:rsidRPr="002B0007" w:rsidRDefault="00DB33C2" w:rsidP="00DB33C2">
      <w:pPr>
        <w:spacing w:after="0"/>
      </w:pPr>
    </w:p>
    <w:p w14:paraId="0FB26DFC" w14:textId="77777777" w:rsidR="00DB33C2" w:rsidRPr="00841350" w:rsidRDefault="00DB33C2" w:rsidP="00DB33C2">
      <w:pPr>
        <w:pStyle w:val="Subtitle"/>
        <w:spacing w:after="0"/>
        <w:ind w:firstLine="720"/>
        <w:rPr>
          <w:rStyle w:val="IntenseEmphasis"/>
          <w:lang w:val="en-US"/>
        </w:rPr>
      </w:pPr>
    </w:p>
    <w:p w14:paraId="4B322155" w14:textId="77777777" w:rsidR="00DB33C2" w:rsidRDefault="00DB33C2" w:rsidP="00DB33C2">
      <w:pPr>
        <w:spacing w:after="0"/>
      </w:pPr>
    </w:p>
    <w:p w14:paraId="5D3589FA" w14:textId="77777777" w:rsidR="00DB33C2" w:rsidRDefault="00DB33C2" w:rsidP="00DB33C2">
      <w:pPr>
        <w:spacing w:after="0"/>
      </w:pPr>
    </w:p>
    <w:p w14:paraId="69FB1C53" w14:textId="77777777" w:rsidR="00DB33C2" w:rsidRDefault="00DB33C2" w:rsidP="00DB33C2">
      <w:pPr>
        <w:spacing w:after="0"/>
      </w:pPr>
    </w:p>
    <w:p w14:paraId="617A9A8E" w14:textId="77777777" w:rsidR="00DB33C2" w:rsidRDefault="00DB33C2" w:rsidP="00DB33C2">
      <w:pPr>
        <w:spacing w:after="0"/>
      </w:pPr>
    </w:p>
    <w:p w14:paraId="378823D6" w14:textId="77777777" w:rsidR="00DB33C2" w:rsidRDefault="00DB33C2" w:rsidP="00DB33C2">
      <w:pPr>
        <w:spacing w:after="0"/>
        <w:ind w:left="720"/>
        <w:rPr>
          <w:b/>
        </w:rPr>
      </w:pPr>
    </w:p>
    <w:p w14:paraId="7CD391F2" w14:textId="77777777" w:rsidR="00DB33C2" w:rsidRDefault="00DB33C2" w:rsidP="00DB33C2">
      <w:pPr>
        <w:spacing w:after="0"/>
        <w:ind w:left="720"/>
        <w:rPr>
          <w:b/>
        </w:rPr>
      </w:pPr>
    </w:p>
    <w:p w14:paraId="5B92DC82" w14:textId="77777777" w:rsidR="00DB33C2" w:rsidRDefault="00DB33C2" w:rsidP="00DB33C2">
      <w:pPr>
        <w:spacing w:after="0"/>
        <w:ind w:left="720"/>
        <w:rPr>
          <w:b/>
        </w:rPr>
      </w:pPr>
    </w:p>
    <w:p w14:paraId="2C226123" w14:textId="77777777" w:rsidR="00DB33C2" w:rsidRDefault="00DB33C2" w:rsidP="00DB33C2">
      <w:pPr>
        <w:spacing w:after="0"/>
        <w:ind w:left="720"/>
        <w:rPr>
          <w:b/>
        </w:rPr>
      </w:pPr>
    </w:p>
    <w:p w14:paraId="3DF5437F" w14:textId="77777777" w:rsidR="00DB33C2" w:rsidRDefault="00DB33C2" w:rsidP="00DB33C2">
      <w:pPr>
        <w:spacing w:after="0"/>
        <w:ind w:left="720"/>
        <w:rPr>
          <w:b/>
          <w:szCs w:val="24"/>
        </w:rPr>
      </w:pPr>
    </w:p>
    <w:p w14:paraId="052B396E" w14:textId="77777777" w:rsidR="00DB33C2" w:rsidRDefault="00DB33C2" w:rsidP="00DB33C2">
      <w:pPr>
        <w:spacing w:after="0"/>
        <w:ind w:left="720"/>
        <w:rPr>
          <w:b/>
          <w:szCs w:val="24"/>
        </w:rPr>
      </w:pPr>
    </w:p>
    <w:p w14:paraId="58CFFE8D" w14:textId="77777777" w:rsidR="00697210" w:rsidRDefault="00697210" w:rsidP="00DB33C2">
      <w:pPr>
        <w:spacing w:after="0"/>
        <w:rPr>
          <w:b/>
          <w:szCs w:val="24"/>
        </w:rPr>
      </w:pPr>
    </w:p>
    <w:p w14:paraId="726619C5" w14:textId="77777777" w:rsidR="0074478C" w:rsidRDefault="0074478C" w:rsidP="00DB33C2">
      <w:pPr>
        <w:spacing w:after="0"/>
        <w:rPr>
          <w:b/>
          <w:szCs w:val="24"/>
        </w:rPr>
      </w:pPr>
    </w:p>
    <w:p w14:paraId="1890B2EF" w14:textId="77777777" w:rsidR="0074478C" w:rsidRDefault="0074478C" w:rsidP="00DB33C2">
      <w:pPr>
        <w:spacing w:after="0"/>
        <w:rPr>
          <w:b/>
          <w:szCs w:val="24"/>
        </w:rPr>
      </w:pPr>
    </w:p>
    <w:p w14:paraId="5C27C300" w14:textId="77777777" w:rsidR="0074478C" w:rsidRDefault="0074478C" w:rsidP="00DB33C2">
      <w:pPr>
        <w:spacing w:after="0"/>
        <w:rPr>
          <w:b/>
          <w:szCs w:val="24"/>
        </w:rPr>
      </w:pPr>
    </w:p>
    <w:p w14:paraId="630876DB" w14:textId="77777777" w:rsidR="0074478C" w:rsidRDefault="0074478C" w:rsidP="00DB33C2">
      <w:pPr>
        <w:spacing w:after="0"/>
        <w:rPr>
          <w:b/>
          <w:szCs w:val="24"/>
        </w:rPr>
      </w:pPr>
    </w:p>
    <w:p w14:paraId="3831EAFC" w14:textId="77777777" w:rsidR="0074478C" w:rsidRDefault="0074478C" w:rsidP="00DB33C2">
      <w:pPr>
        <w:spacing w:after="0"/>
        <w:rPr>
          <w:b/>
          <w:szCs w:val="24"/>
        </w:rPr>
      </w:pPr>
    </w:p>
    <w:p w14:paraId="1EDEF859" w14:textId="77777777" w:rsidR="0074478C" w:rsidRDefault="0074478C" w:rsidP="00DB33C2">
      <w:pPr>
        <w:spacing w:after="0"/>
        <w:rPr>
          <w:b/>
          <w:szCs w:val="24"/>
        </w:rPr>
      </w:pPr>
    </w:p>
    <w:p w14:paraId="0DB3DB6E" w14:textId="77777777" w:rsidR="0074478C" w:rsidRDefault="0074478C" w:rsidP="00DB33C2">
      <w:pPr>
        <w:spacing w:after="0"/>
        <w:rPr>
          <w:b/>
          <w:szCs w:val="24"/>
        </w:rPr>
      </w:pPr>
    </w:p>
    <w:p w14:paraId="4093CA21" w14:textId="77777777" w:rsidR="0074478C" w:rsidRDefault="0074478C" w:rsidP="00DB33C2">
      <w:pPr>
        <w:spacing w:after="0"/>
        <w:rPr>
          <w:b/>
          <w:szCs w:val="24"/>
        </w:rPr>
      </w:pPr>
    </w:p>
    <w:p w14:paraId="70D70502" w14:textId="77777777" w:rsidR="0074478C" w:rsidRDefault="0074478C" w:rsidP="00DB33C2">
      <w:pPr>
        <w:spacing w:after="0"/>
        <w:rPr>
          <w:b/>
          <w:szCs w:val="24"/>
        </w:rPr>
      </w:pPr>
    </w:p>
    <w:p w14:paraId="6646DFB7" w14:textId="4E8E392A" w:rsidR="00DB33C2" w:rsidRDefault="00DB33C2" w:rsidP="00DB33C2">
      <w:pPr>
        <w:spacing w:after="0"/>
        <w:rPr>
          <w:i/>
          <w:szCs w:val="24"/>
        </w:rPr>
      </w:pPr>
      <w:r w:rsidRPr="001029FF">
        <w:rPr>
          <w:b/>
          <w:szCs w:val="24"/>
        </w:rPr>
        <w:t>Before opening a new issue</w:t>
      </w:r>
      <w:r w:rsidRPr="001029FF">
        <w:rPr>
          <w:szCs w:val="24"/>
        </w:rPr>
        <w:t xml:space="preserve">, look whether </w:t>
      </w:r>
      <w:r w:rsidR="003E13A9">
        <w:rPr>
          <w:szCs w:val="24"/>
        </w:rPr>
        <w:t xml:space="preserve">someone else has not opened it already. </w:t>
      </w:r>
      <w:r w:rsidRPr="001029FF">
        <w:rPr>
          <w:szCs w:val="24"/>
        </w:rPr>
        <w:t>You can do this</w:t>
      </w:r>
      <w:r>
        <w:rPr>
          <w:szCs w:val="24"/>
        </w:rPr>
        <w:t>, for example,</w:t>
      </w:r>
      <w:r w:rsidRPr="001029FF">
        <w:rPr>
          <w:szCs w:val="24"/>
        </w:rPr>
        <w:t xml:space="preserve"> by writing </w:t>
      </w:r>
      <w:r>
        <w:rPr>
          <w:szCs w:val="24"/>
        </w:rPr>
        <w:t xml:space="preserve">the ID number in the search bar (if you specify </w:t>
      </w:r>
      <w:r w:rsidRPr="001029FF">
        <w:rPr>
          <w:szCs w:val="24"/>
        </w:rPr>
        <w:t>"in:title"</w:t>
      </w:r>
      <w:r>
        <w:rPr>
          <w:szCs w:val="24"/>
        </w:rPr>
        <w:t xml:space="preserve">, your search will be more accurate). </w:t>
      </w:r>
      <w:r w:rsidRPr="001029FF">
        <w:rPr>
          <w:szCs w:val="24"/>
        </w:rPr>
        <w:t>For example, if you wanted to search for the issue</w:t>
      </w:r>
      <w:r>
        <w:rPr>
          <w:szCs w:val="24"/>
        </w:rPr>
        <w:t xml:space="preserve"> mentioned</w:t>
      </w:r>
      <w:r w:rsidRPr="001029FF">
        <w:rPr>
          <w:szCs w:val="24"/>
        </w:rPr>
        <w:t xml:space="preserve"> in the box above, you would search for "BT-01</w:t>
      </w:r>
      <w:r>
        <w:rPr>
          <w:szCs w:val="24"/>
        </w:rPr>
        <w:t xml:space="preserve"> </w:t>
      </w:r>
      <w:r w:rsidRPr="001029FF">
        <w:rPr>
          <w:szCs w:val="24"/>
        </w:rPr>
        <w:t>in:title".</w:t>
      </w:r>
    </w:p>
    <w:p w14:paraId="48015682" w14:textId="77777777" w:rsidR="00DB33C2" w:rsidRDefault="00DB33C2" w:rsidP="00DB33C2">
      <w:pPr>
        <w:spacing w:after="0"/>
        <w:rPr>
          <w:i/>
          <w:szCs w:val="24"/>
        </w:rPr>
      </w:pPr>
    </w:p>
    <w:p w14:paraId="766089B2" w14:textId="77777777" w:rsidR="00DB33C2" w:rsidRPr="001029FF" w:rsidRDefault="00DB33C2" w:rsidP="00A8550A">
      <w:pPr>
        <w:spacing w:after="0"/>
        <w:ind w:left="567"/>
        <w:rPr>
          <w:szCs w:val="24"/>
        </w:rPr>
      </w:pPr>
      <w:r>
        <w:rPr>
          <w:noProof/>
          <w:lang w:val="en-US"/>
        </w:rPr>
        <w:drawing>
          <wp:inline distT="0" distB="0" distL="0" distR="0" wp14:anchorId="6AE56872" wp14:editId="56FFF7CB">
            <wp:extent cx="4787668" cy="372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99362" cy="3730189"/>
                    </a:xfrm>
                    <a:prstGeom prst="rect">
                      <a:avLst/>
                    </a:prstGeom>
                  </pic:spPr>
                </pic:pic>
              </a:graphicData>
            </a:graphic>
          </wp:inline>
        </w:drawing>
      </w:r>
      <w:r>
        <w:rPr>
          <w:noProof/>
          <w:lang w:eastAsia="en-GB"/>
        </w:rPr>
        <w:t xml:space="preserve"> </w:t>
      </w:r>
    </w:p>
    <w:p w14:paraId="708F7503" w14:textId="77777777" w:rsidR="00DB33C2" w:rsidRDefault="00DB33C2" w:rsidP="00DB33C2">
      <w:pPr>
        <w:spacing w:after="0"/>
      </w:pPr>
    </w:p>
    <w:p w14:paraId="4A88DDF7" w14:textId="77777777" w:rsidR="00DB33C2" w:rsidRDefault="00DB33C2" w:rsidP="00DB33C2">
      <w:pPr>
        <w:rPr>
          <w:szCs w:val="24"/>
        </w:rPr>
      </w:pPr>
      <w:r>
        <w:rPr>
          <w:szCs w:val="24"/>
        </w:rPr>
        <w:t>(</w:t>
      </w:r>
      <w:r w:rsidRPr="001029FF">
        <w:rPr>
          <w:szCs w:val="24"/>
        </w:rPr>
        <w:t xml:space="preserve">To </w:t>
      </w:r>
      <w:r>
        <w:rPr>
          <w:szCs w:val="24"/>
        </w:rPr>
        <w:t xml:space="preserve">ensure the consultation is easy to read, please note </w:t>
      </w:r>
      <w:r w:rsidRPr="001029FF">
        <w:rPr>
          <w:szCs w:val="24"/>
        </w:rPr>
        <w:t xml:space="preserve">we </w:t>
      </w:r>
      <w:r>
        <w:rPr>
          <w:szCs w:val="24"/>
        </w:rPr>
        <w:t>may</w:t>
      </w:r>
      <w:r w:rsidRPr="001029FF">
        <w:rPr>
          <w:szCs w:val="24"/>
        </w:rPr>
        <w:t xml:space="preserve"> </w:t>
      </w:r>
      <w:r w:rsidRPr="0029708C">
        <w:rPr>
          <w:szCs w:val="24"/>
        </w:rPr>
        <w:t>format the submitted</w:t>
      </w:r>
      <w:r w:rsidRPr="001029FF">
        <w:rPr>
          <w:szCs w:val="24"/>
        </w:rPr>
        <w:t xml:space="preserve"> issue</w:t>
      </w:r>
      <w:r>
        <w:rPr>
          <w:szCs w:val="24"/>
        </w:rPr>
        <w:t>s</w:t>
      </w:r>
      <w:r w:rsidRPr="001029FF">
        <w:rPr>
          <w:szCs w:val="24"/>
        </w:rPr>
        <w:t>.</w:t>
      </w:r>
      <w:r>
        <w:rPr>
          <w:szCs w:val="24"/>
        </w:rPr>
        <w:t>)</w:t>
      </w:r>
    </w:p>
    <w:p w14:paraId="59E35380" w14:textId="0C895F06" w:rsidR="003A436D" w:rsidRDefault="003A436D" w:rsidP="003A436D">
      <w:pPr>
        <w:pStyle w:val="Heading2"/>
        <w:numPr>
          <w:ilvl w:val="0"/>
          <w:numId w:val="0"/>
        </w:numPr>
        <w:tabs>
          <w:tab w:val="left" w:pos="850"/>
        </w:tabs>
        <w:spacing w:before="360" w:after="120"/>
      </w:pPr>
      <w:r>
        <w:t>Annex I</w:t>
      </w:r>
      <w:r w:rsidR="00A763E4">
        <w:t>I</w:t>
      </w:r>
      <w:r>
        <w:t xml:space="preserve"> – </w:t>
      </w:r>
      <w:r w:rsidR="0046791B">
        <w:t>New policy fields</w:t>
      </w:r>
    </w:p>
    <w:p w14:paraId="33952621" w14:textId="2B35BD78" w:rsidR="00F01CC6" w:rsidRDefault="00F01CC6" w:rsidP="00F01CC6">
      <w:pPr>
        <w:pStyle w:val="Text2"/>
        <w:ind w:left="0"/>
      </w:pPr>
      <w:r>
        <w:t>As requested by participants of the public procurement Economical and Statistical Working Group on 10</w:t>
      </w:r>
      <w:r w:rsidRPr="007B5973">
        <w:rPr>
          <w:vertAlign w:val="superscript"/>
        </w:rPr>
        <w:t>th</w:t>
      </w:r>
      <w:r>
        <w:t xml:space="preserve"> December, this Annex provides an overview of new</w:t>
      </w:r>
      <w:r w:rsidR="008969A4">
        <w:t>,</w:t>
      </w:r>
      <w:r>
        <w:t xml:space="preserve"> </w:t>
      </w:r>
      <w:r w:rsidR="008969A4">
        <w:t xml:space="preserve">possibly mandatory </w:t>
      </w:r>
      <w:r w:rsidR="0046791B">
        <w:t xml:space="preserve">policy </w:t>
      </w:r>
      <w:r>
        <w:t xml:space="preserve">fields proposed for eForms. </w:t>
      </w:r>
      <w:r w:rsidR="00D347EF">
        <w:t xml:space="preserve">The Commission will include fields in the Implementing Regulation as </w:t>
      </w:r>
      <w:r>
        <w:t xml:space="preserve">mandatory, optional or </w:t>
      </w:r>
      <w:r w:rsidR="00D347EF">
        <w:t xml:space="preserve">remove them </w:t>
      </w:r>
      <w:r>
        <w:t xml:space="preserve">altogether depending on the EU countries’ vote in the Advisory Committee on Public Procurement. </w:t>
      </w:r>
    </w:p>
    <w:p w14:paraId="2C6D80AA" w14:textId="3F0DAFF3" w:rsidR="00B51D3E" w:rsidRDefault="00492FF4" w:rsidP="007B5973">
      <w:pPr>
        <w:pStyle w:val="Text2"/>
        <w:ind w:left="0"/>
      </w:pPr>
      <w:r>
        <w:t xml:space="preserve">Fields will be introduced as </w:t>
      </w:r>
      <w:r w:rsidR="008C5BD1">
        <w:t xml:space="preserve">mandatory </w:t>
      </w:r>
      <w:r w:rsidR="00517BAD">
        <w:t xml:space="preserve">only </w:t>
      </w:r>
      <w:r>
        <w:t xml:space="preserve">when they </w:t>
      </w:r>
      <w:r w:rsidR="00B51D3E">
        <w:t xml:space="preserve">gain the support of </w:t>
      </w:r>
      <w:r w:rsidR="00C152FF">
        <w:t>the</w:t>
      </w:r>
      <w:r w:rsidR="00B51D3E">
        <w:t xml:space="preserve"> </w:t>
      </w:r>
      <w:r w:rsidR="00735F87">
        <w:t xml:space="preserve">simple </w:t>
      </w:r>
      <w:r w:rsidR="002953E9">
        <w:t xml:space="preserve">majority of </w:t>
      </w:r>
      <w:r>
        <w:t>EU countries</w:t>
      </w:r>
      <w:r w:rsidR="008C5BD1">
        <w:t xml:space="preserve">. </w:t>
      </w:r>
    </w:p>
    <w:p w14:paraId="7A6D7FE7" w14:textId="5C249B5E" w:rsidR="00517BAD" w:rsidRDefault="00492FF4" w:rsidP="006F0218">
      <w:pPr>
        <w:pStyle w:val="Text2"/>
        <w:ind w:left="0"/>
      </w:pPr>
      <w:r>
        <w:t xml:space="preserve">Fields will be included as </w:t>
      </w:r>
      <w:r w:rsidR="00C53E61">
        <w:t>optional</w:t>
      </w:r>
      <w:r w:rsidR="00E050E8">
        <w:rPr>
          <w:rStyle w:val="FootnoteReference"/>
        </w:rPr>
        <w:footnoteReference w:id="5"/>
      </w:r>
      <w:r w:rsidR="00C53E61">
        <w:t xml:space="preserve"> </w:t>
      </w:r>
      <w:r w:rsidR="00B51D3E">
        <w:t>as long as they are supported by at least one country</w:t>
      </w:r>
      <w:r w:rsidR="00C01BB0">
        <w:t xml:space="preserve"> (or there is a clear use by the European Commission, who uses the same </w:t>
      </w:r>
      <w:r w:rsidR="000F0A4E">
        <w:t xml:space="preserve">standard </w:t>
      </w:r>
      <w:r w:rsidR="00C01BB0">
        <w:t>forms)</w:t>
      </w:r>
      <w:r w:rsidR="00B51D3E">
        <w:t xml:space="preserve">. </w:t>
      </w:r>
      <w:r w:rsidR="00C01BB0">
        <w:t>T</w:t>
      </w:r>
      <w:r w:rsidR="00B51D3E">
        <w:t xml:space="preserve">his is because </w:t>
      </w:r>
      <w:r w:rsidR="006F0218">
        <w:t xml:space="preserve">in the digital age, </w:t>
      </w:r>
      <w:r w:rsidR="00B51D3E">
        <w:t xml:space="preserve">optional fields </w:t>
      </w:r>
      <w:r w:rsidR="003C6E72">
        <w:t xml:space="preserve">do not imply any </w:t>
      </w:r>
      <w:r w:rsidR="00C53E61">
        <w:t>cost</w:t>
      </w:r>
      <w:r w:rsidR="003C6E72">
        <w:t>s for</w:t>
      </w:r>
      <w:r w:rsidR="00C53E61">
        <w:t xml:space="preserve"> </w:t>
      </w:r>
      <w:r w:rsidR="00B51D3E">
        <w:t xml:space="preserve">countries that do not use them. </w:t>
      </w:r>
      <w:r w:rsidR="00C53E61">
        <w:t>Furthermore</w:t>
      </w:r>
      <w:r w:rsidR="00B51D3E">
        <w:t xml:space="preserve">, as explained in </w:t>
      </w:r>
      <w:r w:rsidR="006F0218">
        <w:t xml:space="preserve">section 5, above, notices at national level </w:t>
      </w:r>
      <w:r w:rsidR="00C53E61">
        <w:t>cannot contain</w:t>
      </w:r>
      <w:r w:rsidR="002953E9">
        <w:t xml:space="preserve"> more information than notice</w:t>
      </w:r>
      <w:r w:rsidR="006F0218">
        <w:t>s</w:t>
      </w:r>
      <w:r w:rsidR="002953E9">
        <w:t xml:space="preserve"> on TED</w:t>
      </w:r>
      <w:r w:rsidR="006F0218">
        <w:t xml:space="preserve"> and the Commission does not want to “block” national develo</w:t>
      </w:r>
      <w:r w:rsidR="003C6E72">
        <w:t xml:space="preserve">pments. </w:t>
      </w:r>
    </w:p>
    <w:p w14:paraId="1746CA08" w14:textId="0A0C7736" w:rsidR="00C10830" w:rsidRDefault="00FB1D8C" w:rsidP="006F0218">
      <w:pPr>
        <w:pStyle w:val="Text2"/>
        <w:ind w:left="0"/>
      </w:pPr>
      <w:r>
        <w:t>F</w:t>
      </w:r>
      <w:r w:rsidR="00C10830">
        <w:t>ield</w:t>
      </w:r>
      <w:r w:rsidR="00BE3941">
        <w:t>s</w:t>
      </w:r>
      <w:r w:rsidR="00C10830">
        <w:t xml:space="preserve"> should be </w:t>
      </w:r>
      <w:r>
        <w:t xml:space="preserve">chosen based on </w:t>
      </w:r>
      <w:r w:rsidR="00C10830">
        <w:t xml:space="preserve">a careful </w:t>
      </w:r>
      <w:r w:rsidR="005E07CB">
        <w:t xml:space="preserve">comparison </w:t>
      </w:r>
      <w:r w:rsidR="00C10830">
        <w:t xml:space="preserve">of </w:t>
      </w:r>
      <w:r w:rsidR="00A83EA3">
        <w:t>the</w:t>
      </w:r>
      <w:r w:rsidR="005E07CB">
        <w:t>ir</w:t>
      </w:r>
      <w:r w:rsidR="00A83EA3">
        <w:t xml:space="preserve"> </w:t>
      </w:r>
      <w:r w:rsidR="00C10830" w:rsidRPr="00A83EA3">
        <w:rPr>
          <w:b/>
        </w:rPr>
        <w:t>costs</w:t>
      </w:r>
      <w:r>
        <w:t xml:space="preserve"> and </w:t>
      </w:r>
      <w:r w:rsidR="00C10830" w:rsidRPr="00A83EA3">
        <w:rPr>
          <w:b/>
        </w:rPr>
        <w:t>benefits</w:t>
      </w:r>
      <w:r w:rsidR="00C10830">
        <w:t xml:space="preserve">. </w:t>
      </w:r>
    </w:p>
    <w:p w14:paraId="0CF2A747" w14:textId="7A3FAAE9" w:rsidR="005A3E53" w:rsidRDefault="00647E09" w:rsidP="0075201F">
      <w:pPr>
        <w:pStyle w:val="Heading3"/>
        <w:numPr>
          <w:ilvl w:val="0"/>
          <w:numId w:val="0"/>
        </w:numPr>
      </w:pPr>
      <w:r>
        <w:t>G</w:t>
      </w:r>
      <w:r w:rsidR="0023647B">
        <w:t xml:space="preserve">eneral </w:t>
      </w:r>
      <w:r w:rsidR="003A22DE">
        <w:t xml:space="preserve">Considerations </w:t>
      </w:r>
      <w:r w:rsidR="00066370">
        <w:t xml:space="preserve">on </w:t>
      </w:r>
      <w:r>
        <w:t>C</w:t>
      </w:r>
      <w:r w:rsidR="00066370">
        <w:t xml:space="preserve">osts and </w:t>
      </w:r>
      <w:r>
        <w:t>B</w:t>
      </w:r>
      <w:r w:rsidR="00066370">
        <w:t>enefits</w:t>
      </w:r>
    </w:p>
    <w:p w14:paraId="1CB8DF0E" w14:textId="76AA3F0E" w:rsidR="005B5733" w:rsidRDefault="003E649D" w:rsidP="005B5733">
      <w:pPr>
        <w:pStyle w:val="Text1"/>
        <w:numPr>
          <w:ilvl w:val="0"/>
          <w:numId w:val="50"/>
        </w:numPr>
        <w:ind w:left="426"/>
      </w:pPr>
      <w:r>
        <w:t>C</w:t>
      </w:r>
      <w:r w:rsidR="00834783" w:rsidRPr="00FB1D8C">
        <w:t xml:space="preserve">osts </w:t>
      </w:r>
      <w:r w:rsidR="006B028D" w:rsidRPr="00FB1D8C">
        <w:t>and benefits</w:t>
      </w:r>
      <w:r w:rsidR="006B028D">
        <w:t xml:space="preserve"> </w:t>
      </w:r>
      <w:r w:rsidR="00834783">
        <w:t xml:space="preserve">of collecting information </w:t>
      </w:r>
      <w:r>
        <w:t xml:space="preserve">largely </w:t>
      </w:r>
      <w:r w:rsidR="006B028D">
        <w:t xml:space="preserve">fall on </w:t>
      </w:r>
      <w:r w:rsidR="00DD07F9">
        <w:t xml:space="preserve">different </w:t>
      </w:r>
      <w:r w:rsidR="00515F92">
        <w:t>entities</w:t>
      </w:r>
      <w:r w:rsidR="00DD07F9">
        <w:t xml:space="preserve">. </w:t>
      </w:r>
      <w:r w:rsidR="005B5733">
        <w:t xml:space="preserve">The costs are largely concentrated. </w:t>
      </w:r>
      <w:r w:rsidR="005D50FF">
        <w:t>O</w:t>
      </w:r>
      <w:r w:rsidR="006B028D">
        <w:t>verwhelmingly</w:t>
      </w:r>
      <w:r w:rsidR="005D50FF">
        <w:t xml:space="preserve">, </w:t>
      </w:r>
      <w:r w:rsidR="005B5733">
        <w:t xml:space="preserve">they </w:t>
      </w:r>
      <w:r w:rsidR="005D50FF">
        <w:t>are</w:t>
      </w:r>
      <w:r w:rsidR="006B028D">
        <w:t xml:space="preserve"> born by buyers (who fill in </w:t>
      </w:r>
      <w:r w:rsidR="00DD07F9">
        <w:t xml:space="preserve">notices) and </w:t>
      </w:r>
      <w:r w:rsidR="006B028D">
        <w:t xml:space="preserve">e-procurement providers (who provide the </w:t>
      </w:r>
      <w:r w:rsidR="005B5733">
        <w:t xml:space="preserve">technical </w:t>
      </w:r>
      <w:r w:rsidR="006B028D">
        <w:t>infrastructure)</w:t>
      </w:r>
      <w:r w:rsidR="00DD07F9">
        <w:t xml:space="preserve">. </w:t>
      </w:r>
      <w:r w:rsidR="00CD4D59">
        <w:t>Furthermore, m</w:t>
      </w:r>
      <w:r w:rsidR="005D50FF">
        <w:t xml:space="preserve">inistries responsible for public procurement </w:t>
      </w:r>
      <w:r w:rsidR="007E44A9">
        <w:t>deal with “</w:t>
      </w:r>
      <w:r w:rsidR="00515F92">
        <w:t>administrative</w:t>
      </w:r>
      <w:r w:rsidR="007E44A9">
        <w:t>”</w:t>
      </w:r>
      <w:r w:rsidR="005D50FF">
        <w:t xml:space="preserve"> costs</w:t>
      </w:r>
      <w:r w:rsidR="00515F92">
        <w:t xml:space="preserve"> of receiving </w:t>
      </w:r>
      <w:r w:rsidR="00DD07F9">
        <w:t xml:space="preserve">complaints from buyers </w:t>
      </w:r>
      <w:r w:rsidR="00CC4D5F">
        <w:t>and e-procurement providers</w:t>
      </w:r>
      <w:r w:rsidR="005B5733">
        <w:t xml:space="preserve"> if something goes wrong</w:t>
      </w:r>
      <w:r w:rsidR="007E44A9">
        <w:t>, the forms are too long, etc</w:t>
      </w:r>
      <w:r w:rsidR="00CC4D5F">
        <w:t xml:space="preserve">. </w:t>
      </w:r>
    </w:p>
    <w:p w14:paraId="529F20DE" w14:textId="3C986CE2" w:rsidR="00DD07F9" w:rsidRDefault="005D50FF" w:rsidP="005B5733">
      <w:pPr>
        <w:pStyle w:val="Text1"/>
        <w:ind w:left="426"/>
      </w:pPr>
      <w:r>
        <w:t>On the c</w:t>
      </w:r>
      <w:r w:rsidR="00617378">
        <w:t>ontrary, benefits are dispersed –</w:t>
      </w:r>
      <w:r w:rsidR="00D8206D">
        <w:t xml:space="preserve">good information about procurement could </w:t>
      </w:r>
      <w:r w:rsidR="00617378">
        <w:t xml:space="preserve">be considered a “public good”. </w:t>
      </w:r>
      <w:r w:rsidR="00917D06">
        <w:t xml:space="preserve">Beneficiaries include companies, other buyers and any others </w:t>
      </w:r>
      <w:r w:rsidR="00CC4D5F">
        <w:t xml:space="preserve">re-users of the data </w:t>
      </w:r>
      <w:r w:rsidR="00C92A42">
        <w:t xml:space="preserve">such as </w:t>
      </w:r>
      <w:r w:rsidR="00917D06">
        <w:t xml:space="preserve">business intelligence companies, </w:t>
      </w:r>
      <w:r w:rsidR="00CC4D5F">
        <w:t>citizens, NGOs</w:t>
      </w:r>
      <w:r w:rsidR="00917D06">
        <w:t>, academics</w:t>
      </w:r>
      <w:r w:rsidR="00C25871">
        <w:rPr>
          <w:rStyle w:val="FootnoteReference"/>
          <w:szCs w:val="24"/>
        </w:rPr>
        <w:footnoteReference w:id="6"/>
      </w:r>
      <w:r w:rsidR="00917D06">
        <w:t xml:space="preserve">, etc. Moreover, besides public procurement ministries who can better take care of national procurement, they also include </w:t>
      </w:r>
      <w:r w:rsidR="00CC4D5F">
        <w:t xml:space="preserve">sectoral ministries responsible for particular topics (e.g. green procurement, trade).  </w:t>
      </w:r>
    </w:p>
    <w:p w14:paraId="048CF5A0" w14:textId="58FF2C5B" w:rsidR="00DD07F9" w:rsidRDefault="00101DB0" w:rsidP="00E916C7">
      <w:pPr>
        <w:pStyle w:val="Text1"/>
        <w:ind w:left="426"/>
      </w:pPr>
      <w:r>
        <w:t>T</w:t>
      </w:r>
      <w:r w:rsidR="00371F96">
        <w:t xml:space="preserve">o </w:t>
      </w:r>
      <w:r w:rsidR="00BE581A">
        <w:t xml:space="preserve">balance </w:t>
      </w:r>
      <w:r>
        <w:t xml:space="preserve">correctly the </w:t>
      </w:r>
      <w:r w:rsidR="00371F96">
        <w:t>costs and benefits</w:t>
      </w:r>
      <w:r w:rsidR="00BE581A">
        <w:t xml:space="preserve">, </w:t>
      </w:r>
      <w:r>
        <w:t xml:space="preserve">the Commission recommends having </w:t>
      </w:r>
      <w:r w:rsidR="00F643CC" w:rsidRPr="00BE581A">
        <w:t>inclusive discussions at national level</w:t>
      </w:r>
      <w:r w:rsidR="00F643CC">
        <w:t xml:space="preserve">, </w:t>
      </w:r>
      <w:r w:rsidR="005A65E1">
        <w:t xml:space="preserve">where </w:t>
      </w:r>
      <w:r w:rsidR="00E916C7" w:rsidRPr="00BE581A">
        <w:rPr>
          <w:b/>
        </w:rPr>
        <w:t xml:space="preserve">all the relevant stakeholders </w:t>
      </w:r>
      <w:r w:rsidR="005A65E1" w:rsidRPr="00BE581A">
        <w:rPr>
          <w:b/>
        </w:rPr>
        <w:t xml:space="preserve">are </w:t>
      </w:r>
      <w:r w:rsidR="00E916C7" w:rsidRPr="00BE581A">
        <w:rPr>
          <w:b/>
        </w:rPr>
        <w:t>around the table</w:t>
      </w:r>
      <w:r w:rsidR="005A65E1">
        <w:t xml:space="preserve"> and </w:t>
      </w:r>
      <w:r w:rsidR="00F0721E">
        <w:t>agree on the overall</w:t>
      </w:r>
      <w:r w:rsidR="005A65E1">
        <w:t xml:space="preserve"> priorities</w:t>
      </w:r>
      <w:r w:rsidR="00E916C7">
        <w:t xml:space="preserve">. </w:t>
      </w:r>
    </w:p>
    <w:p w14:paraId="2C6C6540" w14:textId="0721574A" w:rsidR="006E346A" w:rsidRDefault="001A5589" w:rsidP="006E346A">
      <w:pPr>
        <w:pStyle w:val="Text1"/>
        <w:numPr>
          <w:ilvl w:val="0"/>
          <w:numId w:val="50"/>
        </w:numPr>
        <w:ind w:left="426"/>
      </w:pPr>
      <w:r>
        <w:t xml:space="preserve">If </w:t>
      </w:r>
      <w:r w:rsidR="00921F50">
        <w:t xml:space="preserve">all </w:t>
      </w:r>
      <w:r w:rsidR="003106CA">
        <w:t>EU countries</w:t>
      </w:r>
      <w:r>
        <w:t xml:space="preserve"> collect certain data</w:t>
      </w:r>
      <w:r w:rsidR="00921F50">
        <w:t>, it becomes more useful for everyone</w:t>
      </w:r>
      <w:r w:rsidR="003106CA">
        <w:t xml:space="preserve">. </w:t>
      </w:r>
      <w:r w:rsidR="007B54F6">
        <w:t xml:space="preserve">For example, benefits can come from benchmarking (e.g. on green procurement) or from </w:t>
      </w:r>
      <w:r w:rsidR="00C93E12">
        <w:t xml:space="preserve">ensuring </w:t>
      </w:r>
      <w:r w:rsidR="007B54F6">
        <w:t xml:space="preserve">that </w:t>
      </w:r>
      <w:r w:rsidR="00C93E12">
        <w:t xml:space="preserve">home </w:t>
      </w:r>
      <w:r w:rsidR="007B54F6">
        <w:t xml:space="preserve">companies have access to certain information from </w:t>
      </w:r>
      <w:r w:rsidR="00C93E12">
        <w:t xml:space="preserve">abroad </w:t>
      </w:r>
      <w:r w:rsidR="007B54F6">
        <w:t xml:space="preserve">(e.g. on electronic signatures). Furthermore, many procurement procedures are paid for by EU funds, </w:t>
      </w:r>
      <w:r w:rsidR="00E55DB7">
        <w:t xml:space="preserve">the efficient spending of which is a matter of interest </w:t>
      </w:r>
      <w:r w:rsidR="007B54F6">
        <w:t xml:space="preserve">for all EU countries. </w:t>
      </w:r>
    </w:p>
    <w:p w14:paraId="25C71E35" w14:textId="0FB78A73" w:rsidR="009E7FC6" w:rsidRDefault="002D4EF4" w:rsidP="009E7FC6">
      <w:pPr>
        <w:pStyle w:val="Text1"/>
        <w:numPr>
          <w:ilvl w:val="0"/>
          <w:numId w:val="50"/>
        </w:numPr>
        <w:ind w:left="426"/>
      </w:pPr>
      <w:r>
        <w:t>B</w:t>
      </w:r>
      <w:r w:rsidR="00EA42FC">
        <w:t>uyers spend months of work on preparing procurement documents</w:t>
      </w:r>
      <w:r>
        <w:t xml:space="preserve">, evaluating bids, etc. Significant sums are involved </w:t>
      </w:r>
      <w:r w:rsidR="00EA42FC">
        <w:t>(</w:t>
      </w:r>
      <w:r w:rsidR="00EA42FC" w:rsidRPr="00526708">
        <w:rPr>
          <w:lang w:val="en-US"/>
        </w:rPr>
        <w:t>€144,000</w:t>
      </w:r>
      <w:r>
        <w:rPr>
          <w:lang w:val="en-US"/>
        </w:rPr>
        <w:t xml:space="preserve"> for the lowest threshold</w:t>
      </w:r>
      <w:r w:rsidR="00EA42FC" w:rsidRPr="00526708">
        <w:rPr>
          <w:lang w:val="en-US"/>
        </w:rPr>
        <w:t xml:space="preserve">). By contrast, filling in a form takes around </w:t>
      </w:r>
      <w:r w:rsidR="00E82041">
        <w:t xml:space="preserve">20 minutes. </w:t>
      </w:r>
      <w:r w:rsidR="00E43E02" w:rsidRPr="00526708">
        <w:rPr>
          <w:lang w:val="en-US"/>
        </w:rPr>
        <w:t xml:space="preserve">In this context, the cost of filling an additional field may be considered as limited. </w:t>
      </w:r>
      <w:r w:rsidR="009E7FC6" w:rsidRPr="005C567A">
        <w:rPr>
          <w:lang w:val="en-US"/>
        </w:rPr>
        <w:t xml:space="preserve">On the other hand, </w:t>
      </w:r>
      <w:r w:rsidR="009E7FC6">
        <w:rPr>
          <w:lang w:val="en-US"/>
        </w:rPr>
        <w:t>experience</w:t>
      </w:r>
      <w:r w:rsidR="009E7FC6" w:rsidRPr="00F643CC">
        <w:t xml:space="preserve"> shows that </w:t>
      </w:r>
      <w:r w:rsidR="009E7FC6">
        <w:t xml:space="preserve">as the number of fields increases, </w:t>
      </w:r>
      <w:r w:rsidR="009E7FC6" w:rsidRPr="00F643CC">
        <w:t xml:space="preserve">the quality of information </w:t>
      </w:r>
      <w:r w:rsidR="009E7FC6">
        <w:t>goes down</w:t>
      </w:r>
      <w:r w:rsidR="009E7FC6" w:rsidRPr="00F643CC">
        <w:t xml:space="preserve">. </w:t>
      </w:r>
      <w:r w:rsidR="009E7FC6">
        <w:t xml:space="preserve">In other words, a reasonable </w:t>
      </w:r>
      <w:r w:rsidR="009F26AA">
        <w:t xml:space="preserve">balance </w:t>
      </w:r>
      <w:r w:rsidR="009E7FC6">
        <w:t xml:space="preserve">needs to be </w:t>
      </w:r>
      <w:r w:rsidR="009F26AA">
        <w:t>maintained</w:t>
      </w:r>
      <w:r w:rsidR="009E7FC6">
        <w:t>.</w:t>
      </w:r>
      <w:r w:rsidR="00C24686">
        <w:t xml:space="preserve"> </w:t>
      </w:r>
    </w:p>
    <w:p w14:paraId="6A83F84A" w14:textId="3EFFC187" w:rsidR="00834783" w:rsidRDefault="00675ABC" w:rsidP="00165E2A">
      <w:pPr>
        <w:pStyle w:val="Text1"/>
        <w:numPr>
          <w:ilvl w:val="0"/>
          <w:numId w:val="50"/>
        </w:numPr>
        <w:ind w:left="426"/>
      </w:pPr>
      <w:r>
        <w:t>A</w:t>
      </w:r>
      <w:r w:rsidR="00A73F56">
        <w:t xml:space="preserve">s </w:t>
      </w:r>
      <w:r w:rsidR="0025585A">
        <w:t xml:space="preserve">more and more fields </w:t>
      </w:r>
      <w:r w:rsidR="00A73F56">
        <w:t xml:space="preserve">are </w:t>
      </w:r>
      <w:r w:rsidR="0025585A">
        <w:t xml:space="preserve">automatically </w:t>
      </w:r>
      <w:r w:rsidR="00A73F56">
        <w:t xml:space="preserve">filled in </w:t>
      </w:r>
      <w:r w:rsidR="0025585A">
        <w:t xml:space="preserve">thanks to the progressing digitalisation of procurement and a new generation form-filling systems, the overall burden on buyers in this area </w:t>
      </w:r>
      <w:r w:rsidR="00A73F56">
        <w:t xml:space="preserve">is likely to </w:t>
      </w:r>
      <w:r w:rsidR="0025585A">
        <w:t xml:space="preserve">significantly decrease.  </w:t>
      </w:r>
      <w:r>
        <w:t>N</w:t>
      </w:r>
      <w:r w:rsidR="0025585A" w:rsidRPr="00526708">
        <w:rPr>
          <w:lang w:val="en-US"/>
        </w:rPr>
        <w:t xml:space="preserve">ot all fields require the same effort to fill in. </w:t>
      </w:r>
      <w:r w:rsidR="00165E2A">
        <w:rPr>
          <w:lang w:val="en-US"/>
        </w:rPr>
        <w:t>Most</w:t>
      </w:r>
      <w:r w:rsidR="00DA572B">
        <w:rPr>
          <w:lang w:val="en-US"/>
        </w:rPr>
        <w:t xml:space="preserve"> </w:t>
      </w:r>
      <w:r w:rsidR="008A68C6">
        <w:t xml:space="preserve">fields </w:t>
      </w:r>
      <w:r w:rsidR="00834783" w:rsidRPr="00365F90">
        <w:t xml:space="preserve">can be </w:t>
      </w:r>
      <w:r w:rsidR="00F643CC" w:rsidRPr="00365F90">
        <w:t xml:space="preserve">filled </w:t>
      </w:r>
      <w:r w:rsidR="00DA572B">
        <w:t xml:space="preserve">in </w:t>
      </w:r>
      <w:r w:rsidR="00F643CC" w:rsidRPr="00365F90">
        <w:t>automatically</w:t>
      </w:r>
      <w:r w:rsidR="00165E2A">
        <w:t xml:space="preserve"> -</w:t>
      </w:r>
      <w:r w:rsidR="00DA572B">
        <w:t xml:space="preserve"> some</w:t>
      </w:r>
      <w:r w:rsidR="00F643CC" w:rsidRPr="00365F90">
        <w:t xml:space="preserve"> </w:t>
      </w:r>
      <w:r w:rsidR="00834783" w:rsidRPr="00365F90">
        <w:t>cannot</w:t>
      </w:r>
      <w:r w:rsidR="00F643CC" w:rsidRPr="00365F90">
        <w:t>.</w:t>
      </w:r>
      <w:r w:rsidR="00F643CC">
        <w:rPr>
          <w:b/>
        </w:rPr>
        <w:t xml:space="preserve"> </w:t>
      </w:r>
    </w:p>
    <w:p w14:paraId="20205A8F" w14:textId="36666BD8" w:rsidR="003208A4" w:rsidRDefault="003208A4" w:rsidP="003208A4">
      <w:pPr>
        <w:pStyle w:val="Text1"/>
        <w:numPr>
          <w:ilvl w:val="0"/>
          <w:numId w:val="50"/>
        </w:numPr>
        <w:ind w:left="426"/>
      </w:pPr>
      <w:r>
        <w:t xml:space="preserve">There are alternatives to collecting policy-relevant information through standard forms. For example, </w:t>
      </w:r>
      <w:r w:rsidR="0059715D">
        <w:t xml:space="preserve">there can be surveys </w:t>
      </w:r>
      <w:r>
        <w:t>within e-procurement systems</w:t>
      </w:r>
      <w:r w:rsidR="0059715D">
        <w:t>.</w:t>
      </w:r>
      <w:r>
        <w:t xml:space="preserve"> Their main advantage is flexibility –</w:t>
      </w:r>
      <w:r w:rsidR="0059715D">
        <w:t xml:space="preserve"> </w:t>
      </w:r>
      <w:r>
        <w:t xml:space="preserve">questions can be changed regardless of procurement law. Their main disadvantage is that to bring the same quality of information as standard forms, they need to duplicate a large portion of the standard forms existing “infrastructure”. In particular, if their results are to be comparable across EU countries, they need a forum where shared descriptions are agreed; if they are to be easily accessible, they need to be included in e-procurement systems; if they are to be mandatory for buyers, they need appropriate regulation (esp. to be included in private e-procurement systems). </w:t>
      </w:r>
    </w:p>
    <w:p w14:paraId="2BB66023" w14:textId="2D342B4F" w:rsidR="00267641" w:rsidRDefault="00267641" w:rsidP="00A37573">
      <w:pPr>
        <w:spacing w:after="0"/>
      </w:pPr>
    </w:p>
    <w:p w14:paraId="2817053D" w14:textId="60481A37" w:rsidR="00C374B7" w:rsidRPr="00C374B7" w:rsidRDefault="00C374B7" w:rsidP="00C374B7">
      <w:pPr>
        <w:pStyle w:val="Text2"/>
        <w:ind w:left="0"/>
      </w:pPr>
      <w:r w:rsidRPr="00C374B7">
        <w:t xml:space="preserve">In the table below, we list new policy fields </w:t>
      </w:r>
      <w:r w:rsidR="001735C0">
        <w:t xml:space="preserve">suggested </w:t>
      </w:r>
      <w:r w:rsidRPr="00C374B7">
        <w:t>for eForms</w:t>
      </w:r>
      <w:r w:rsidR="00707B88">
        <w:t xml:space="preserve"> </w:t>
      </w:r>
      <w:r w:rsidR="001735C0">
        <w:t xml:space="preserve">by the Commission </w:t>
      </w:r>
      <w:r w:rsidR="00707B88">
        <w:t>as mandatory</w:t>
      </w:r>
      <w:r w:rsidRPr="00C374B7">
        <w:t xml:space="preserve">. We include their name and description (the remaining information </w:t>
      </w:r>
      <w:r w:rsidR="00336266">
        <w:t xml:space="preserve">are available </w:t>
      </w:r>
      <w:r w:rsidRPr="00C374B7">
        <w:t>in the Regulation’s Annex)</w:t>
      </w:r>
      <w:r>
        <w:t xml:space="preserve"> as well as </w:t>
      </w:r>
      <w:r w:rsidRPr="00C374B7">
        <w:t xml:space="preserve">considerations about their costs and benefits. </w:t>
      </w:r>
      <w:r w:rsidR="00B70344">
        <w:t xml:space="preserve">The fields </w:t>
      </w:r>
      <w:r w:rsidR="00B3337E">
        <w:t xml:space="preserve">are listed in </w:t>
      </w:r>
      <w:r w:rsidR="00A732D5">
        <w:t xml:space="preserve">the </w:t>
      </w:r>
      <w:r w:rsidR="00B3337E">
        <w:t xml:space="preserve">same order as in the </w:t>
      </w:r>
      <w:r w:rsidR="00A732D5">
        <w:t>Annex</w:t>
      </w:r>
      <w:r w:rsidR="00595EAB">
        <w:t xml:space="preserve"> (</w:t>
      </w:r>
      <w:r w:rsidR="00081F46">
        <w:t xml:space="preserve">i.e. </w:t>
      </w:r>
      <w:r w:rsidR="00595EAB">
        <w:t>not in the order of importance)</w:t>
      </w:r>
      <w:r w:rsidR="00A732D5">
        <w:t xml:space="preserve">. </w:t>
      </w:r>
    </w:p>
    <w:p w14:paraId="5722739A" w14:textId="0F578263" w:rsidR="003F7EB7" w:rsidRDefault="003F7EB7" w:rsidP="003F7EB7">
      <w:pPr>
        <w:spacing w:after="0"/>
        <w:jc w:val="left"/>
        <w:sectPr w:rsidR="003F7EB7" w:rsidSect="003B62CA">
          <w:headerReference w:type="even" r:id="rId21"/>
          <w:headerReference w:type="default" r:id="rId22"/>
          <w:footerReference w:type="even" r:id="rId23"/>
          <w:footerReference w:type="default" r:id="rId24"/>
          <w:headerReference w:type="first" r:id="rId25"/>
          <w:footerReference w:type="first" r:id="rId26"/>
          <w:pgSz w:w="11906" w:h="16838"/>
          <w:pgMar w:top="1020" w:right="1701" w:bottom="1020" w:left="1587" w:header="601" w:footer="1077" w:gutter="0"/>
          <w:cols w:space="720"/>
          <w:titlePg/>
        </w:sectPr>
      </w:pPr>
      <w:r>
        <w:br w:type="page"/>
      </w:r>
    </w:p>
    <w:p w14:paraId="4C2404E2" w14:textId="572F62B8" w:rsidR="003F7EB7" w:rsidRPr="004F0E9D" w:rsidRDefault="00741676" w:rsidP="00741676">
      <w:pPr>
        <w:pStyle w:val="Caption"/>
        <w:keepNext/>
        <w:spacing w:before="0" w:after="0"/>
        <w:jc w:val="left"/>
        <w:rPr>
          <w:sz w:val="20"/>
          <w:lang w:val="cs-CZ"/>
        </w:rPr>
      </w:pPr>
      <w:r w:rsidRPr="00741676">
        <w:rPr>
          <w:sz w:val="20"/>
        </w:rPr>
        <w:t>Policy</w:t>
      </w:r>
      <w:r w:rsidR="003F7EB7" w:rsidRPr="00741676">
        <w:rPr>
          <w:sz w:val="20"/>
        </w:rPr>
        <w:t xml:space="preserve"> </w:t>
      </w:r>
      <w:r w:rsidRPr="00741676">
        <w:rPr>
          <w:sz w:val="20"/>
        </w:rPr>
        <w:t>f</w:t>
      </w:r>
      <w:r w:rsidR="003F7EB7" w:rsidRPr="00741676">
        <w:rPr>
          <w:sz w:val="20"/>
        </w:rPr>
        <w:t>ields</w:t>
      </w:r>
      <w:r w:rsidR="007E494C" w:rsidRPr="00741676">
        <w:rPr>
          <w:sz w:val="20"/>
        </w:rPr>
        <w:t xml:space="preserve"> </w:t>
      </w:r>
      <w:r w:rsidRPr="00741676">
        <w:rPr>
          <w:sz w:val="20"/>
        </w:rPr>
        <w:t>I (general)</w:t>
      </w:r>
    </w:p>
    <w:tbl>
      <w:tblPr>
        <w:tblStyle w:val="TableGrid"/>
        <w:tblW w:w="5000" w:type="pct"/>
        <w:tblLook w:val="04A0" w:firstRow="1" w:lastRow="0" w:firstColumn="1" w:lastColumn="0" w:noHBand="0" w:noVBand="1"/>
      </w:tblPr>
      <w:tblGrid>
        <w:gridCol w:w="2093"/>
        <w:gridCol w:w="6381"/>
        <w:gridCol w:w="6540"/>
      </w:tblGrid>
      <w:tr w:rsidR="00AE263E" w14:paraId="740D699B" w14:textId="5EC749D8" w:rsidTr="00365F90">
        <w:trPr>
          <w:tblHeader/>
        </w:trPr>
        <w:tc>
          <w:tcPr>
            <w:tcW w:w="697" w:type="pct"/>
            <w:shd w:val="clear" w:color="auto" w:fill="8DB3E2" w:themeFill="text2" w:themeFillTint="66"/>
          </w:tcPr>
          <w:p w14:paraId="59F5CE6E" w14:textId="5BF2A599" w:rsidR="00AE263E" w:rsidRPr="00A732D5" w:rsidRDefault="00AE263E" w:rsidP="00E34F69">
            <w:pPr>
              <w:spacing w:after="0"/>
              <w:jc w:val="left"/>
              <w:rPr>
                <w:b/>
              </w:rPr>
            </w:pPr>
            <w:r w:rsidRPr="00A732D5">
              <w:rPr>
                <w:b/>
              </w:rPr>
              <w:t>Name</w:t>
            </w:r>
          </w:p>
        </w:tc>
        <w:tc>
          <w:tcPr>
            <w:tcW w:w="2125" w:type="pct"/>
            <w:shd w:val="clear" w:color="auto" w:fill="8DB3E2" w:themeFill="text2" w:themeFillTint="66"/>
          </w:tcPr>
          <w:p w14:paraId="1FCAA383" w14:textId="7EDBC300" w:rsidR="00AE263E" w:rsidRPr="00A732D5" w:rsidRDefault="00AE263E" w:rsidP="00E34F69">
            <w:pPr>
              <w:spacing w:after="0"/>
              <w:jc w:val="left"/>
              <w:rPr>
                <w:b/>
              </w:rPr>
            </w:pPr>
            <w:r w:rsidRPr="00A732D5">
              <w:rPr>
                <w:b/>
              </w:rPr>
              <w:t xml:space="preserve">Description </w:t>
            </w:r>
          </w:p>
        </w:tc>
        <w:tc>
          <w:tcPr>
            <w:tcW w:w="2178" w:type="pct"/>
            <w:shd w:val="clear" w:color="auto" w:fill="8DB3E2" w:themeFill="text2" w:themeFillTint="66"/>
          </w:tcPr>
          <w:p w14:paraId="3BEFA804" w14:textId="1BE796DD" w:rsidR="00AE263E" w:rsidRPr="00A732D5" w:rsidRDefault="00AE263E" w:rsidP="00DB7BA0">
            <w:pPr>
              <w:spacing w:after="0"/>
              <w:jc w:val="left"/>
              <w:rPr>
                <w:b/>
              </w:rPr>
            </w:pPr>
            <w:r w:rsidRPr="00A732D5">
              <w:rPr>
                <w:b/>
              </w:rPr>
              <w:t>Considerations</w:t>
            </w:r>
          </w:p>
        </w:tc>
      </w:tr>
      <w:tr w:rsidR="00595EAB" w14:paraId="11D9D074" w14:textId="437E3A67" w:rsidTr="00365F90">
        <w:trPr>
          <w:tblHeader/>
        </w:trPr>
        <w:tc>
          <w:tcPr>
            <w:tcW w:w="697" w:type="pct"/>
            <w:shd w:val="clear" w:color="auto" w:fill="8DB3E2" w:themeFill="text2" w:themeFillTint="66"/>
          </w:tcPr>
          <w:p w14:paraId="3A3BCA8A" w14:textId="7AFEE5F0" w:rsidR="00595EAB" w:rsidRPr="00E9149E" w:rsidRDefault="00595EAB" w:rsidP="00595EAB">
            <w:pPr>
              <w:spacing w:after="0"/>
              <w:rPr>
                <w:i/>
                <w:szCs w:val="24"/>
              </w:rPr>
            </w:pPr>
            <w:r w:rsidRPr="00E9149E">
              <w:rPr>
                <w:i/>
                <w:szCs w:val="24"/>
              </w:rPr>
              <w:t>Winner Owner Nationality (BT-706)</w:t>
            </w:r>
            <w:r>
              <w:rPr>
                <w:i/>
                <w:szCs w:val="24"/>
              </w:rPr>
              <w:t xml:space="preserve"> </w:t>
            </w:r>
          </w:p>
          <w:p w14:paraId="107C5196" w14:textId="77777777" w:rsidR="00595EAB" w:rsidRDefault="00595EAB" w:rsidP="00595EAB">
            <w:pPr>
              <w:spacing w:after="0"/>
              <w:rPr>
                <w:i/>
                <w:szCs w:val="24"/>
              </w:rPr>
            </w:pPr>
          </w:p>
        </w:tc>
        <w:tc>
          <w:tcPr>
            <w:tcW w:w="2125" w:type="pct"/>
            <w:shd w:val="clear" w:color="auto" w:fill="8DB3E2" w:themeFill="text2" w:themeFillTint="66"/>
          </w:tcPr>
          <w:p w14:paraId="0C5294E7" w14:textId="5A311811" w:rsidR="00595EAB" w:rsidRDefault="00595EAB" w:rsidP="00595EAB">
            <w:pPr>
              <w:spacing w:after="0"/>
              <w:jc w:val="left"/>
            </w:pPr>
            <w:r>
              <w:t>”</w:t>
            </w:r>
            <w:r w:rsidRPr="002D45CF">
              <w:t>The nationality (or nationalities) of the beneficiary owner(s) of the winner(s), as published in the register(s) established by anti-money laundering legislation. If such a register does not exist (e.g. in case of non-EU contractors) then equivalent information from other sources.</w:t>
            </w:r>
            <w:r>
              <w:t xml:space="preserve"> ”</w:t>
            </w:r>
          </w:p>
          <w:p w14:paraId="56A1E511" w14:textId="77777777" w:rsidR="00595EAB" w:rsidRPr="00A732D5" w:rsidRDefault="00595EAB" w:rsidP="00595EAB"/>
          <w:p w14:paraId="300E0778" w14:textId="1BDD9D76" w:rsidR="00595EAB" w:rsidRDefault="00595EAB" w:rsidP="00595EAB"/>
          <w:p w14:paraId="1FEE7B01" w14:textId="1AF1A59D" w:rsidR="00595EAB" w:rsidRPr="00A732D5" w:rsidRDefault="00595EAB" w:rsidP="00595EAB">
            <w:pPr>
              <w:tabs>
                <w:tab w:val="left" w:pos="1520"/>
              </w:tabs>
            </w:pPr>
            <w:r>
              <w:tab/>
            </w:r>
          </w:p>
        </w:tc>
        <w:tc>
          <w:tcPr>
            <w:tcW w:w="2178" w:type="pct"/>
          </w:tcPr>
          <w:p w14:paraId="5808BC4A" w14:textId="6F54BD3D" w:rsidR="00595EAB" w:rsidRPr="002D236E" w:rsidRDefault="00595EAB" w:rsidP="00595EAB">
            <w:pPr>
              <w:spacing w:after="0"/>
              <w:rPr>
                <w:szCs w:val="24"/>
              </w:rPr>
            </w:pPr>
            <w:r>
              <w:rPr>
                <w:szCs w:val="24"/>
              </w:rPr>
              <w:t>Structured i</w:t>
            </w:r>
            <w:r w:rsidRPr="002D236E">
              <w:rPr>
                <w:szCs w:val="24"/>
              </w:rPr>
              <w:t xml:space="preserve">nformation on who controls </w:t>
            </w:r>
            <w:r>
              <w:rPr>
                <w:szCs w:val="24"/>
              </w:rPr>
              <w:t xml:space="preserve">the </w:t>
            </w:r>
            <w:r w:rsidRPr="002D236E">
              <w:rPr>
                <w:szCs w:val="24"/>
              </w:rPr>
              <w:t xml:space="preserve">suppliers of EU governments would </w:t>
            </w:r>
            <w:r>
              <w:rPr>
                <w:szCs w:val="24"/>
              </w:rPr>
              <w:t>improve</w:t>
            </w:r>
            <w:r w:rsidR="004F0C55">
              <w:rPr>
                <w:szCs w:val="24"/>
              </w:rPr>
              <w:t xml:space="preserve"> the</w:t>
            </w:r>
            <w:r w:rsidRPr="002D236E">
              <w:rPr>
                <w:szCs w:val="24"/>
              </w:rPr>
              <w:t>:</w:t>
            </w:r>
          </w:p>
          <w:p w14:paraId="73BF37F3" w14:textId="4922A7F1" w:rsidR="00595EAB" w:rsidRPr="002D236E" w:rsidRDefault="003B36FF" w:rsidP="00595EAB">
            <w:pPr>
              <w:pStyle w:val="ListParagraph"/>
              <w:numPr>
                <w:ilvl w:val="0"/>
                <w:numId w:val="58"/>
              </w:numPr>
              <w:spacing w:after="0"/>
              <w:rPr>
                <w:rFonts w:ascii="Times New Roman" w:hAnsi="Times New Roman"/>
                <w:sz w:val="24"/>
                <w:szCs w:val="24"/>
              </w:rPr>
            </w:pPr>
            <w:r>
              <w:rPr>
                <w:rFonts w:ascii="Times New Roman" w:hAnsi="Times New Roman"/>
                <w:sz w:val="24"/>
                <w:szCs w:val="24"/>
              </w:rPr>
              <w:t>n</w:t>
            </w:r>
            <w:r w:rsidR="00595EAB" w:rsidRPr="002D236E">
              <w:rPr>
                <w:rFonts w:ascii="Times New Roman" w:hAnsi="Times New Roman"/>
                <w:sz w:val="24"/>
                <w:szCs w:val="24"/>
              </w:rPr>
              <w:t>egotiation of EU’s trade agreements</w:t>
            </w:r>
            <w:r>
              <w:rPr>
                <w:rFonts w:ascii="Times New Roman" w:hAnsi="Times New Roman"/>
                <w:sz w:val="24"/>
                <w:szCs w:val="24"/>
              </w:rPr>
              <w:t>;</w:t>
            </w:r>
          </w:p>
          <w:p w14:paraId="22391A0B" w14:textId="5D71EE36" w:rsidR="00595EAB" w:rsidRDefault="00595EAB" w:rsidP="00595EAB">
            <w:pPr>
              <w:pStyle w:val="ListParagraph"/>
              <w:numPr>
                <w:ilvl w:val="0"/>
                <w:numId w:val="58"/>
              </w:numPr>
              <w:spacing w:after="0"/>
              <w:rPr>
                <w:rFonts w:ascii="Times New Roman" w:hAnsi="Times New Roman"/>
                <w:sz w:val="24"/>
                <w:szCs w:val="24"/>
              </w:rPr>
            </w:pPr>
            <w:r>
              <w:rPr>
                <w:rFonts w:ascii="Times New Roman" w:hAnsi="Times New Roman"/>
                <w:sz w:val="24"/>
                <w:szCs w:val="24"/>
              </w:rPr>
              <w:t>security of the EU, e.g. in the context of the dependency on Chinese owned suppliers of IT infrastructure, Russian owned suppliers (potentially covered by economic sanctions)</w:t>
            </w:r>
            <w:r w:rsidR="003B36FF">
              <w:rPr>
                <w:rFonts w:ascii="Times New Roman" w:hAnsi="Times New Roman"/>
                <w:sz w:val="24"/>
                <w:szCs w:val="24"/>
              </w:rPr>
              <w:t>;</w:t>
            </w:r>
            <w:r>
              <w:rPr>
                <w:rFonts w:ascii="Times New Roman" w:hAnsi="Times New Roman"/>
                <w:sz w:val="24"/>
                <w:szCs w:val="24"/>
              </w:rPr>
              <w:t xml:space="preserve"> </w:t>
            </w:r>
          </w:p>
          <w:p w14:paraId="4589FD58" w14:textId="1EDCD4CF" w:rsidR="00595EAB" w:rsidRDefault="004F0C55" w:rsidP="00595EAB">
            <w:pPr>
              <w:pStyle w:val="ListParagraph"/>
              <w:numPr>
                <w:ilvl w:val="0"/>
                <w:numId w:val="58"/>
              </w:numPr>
              <w:rPr>
                <w:rFonts w:ascii="Times New Roman" w:hAnsi="Times New Roman"/>
                <w:sz w:val="24"/>
                <w:szCs w:val="24"/>
              </w:rPr>
            </w:pPr>
            <w:r>
              <w:rPr>
                <w:rFonts w:ascii="Times New Roman" w:hAnsi="Times New Roman"/>
                <w:sz w:val="24"/>
                <w:szCs w:val="24"/>
              </w:rPr>
              <w:t>u</w:t>
            </w:r>
            <w:r w:rsidR="00595EAB">
              <w:rPr>
                <w:rFonts w:ascii="Times New Roman" w:hAnsi="Times New Roman"/>
                <w:sz w:val="24"/>
                <w:szCs w:val="24"/>
              </w:rPr>
              <w:t xml:space="preserve">nderstanding of the benefits that the public procurement </w:t>
            </w:r>
            <w:r>
              <w:rPr>
                <w:rFonts w:ascii="Times New Roman" w:hAnsi="Times New Roman"/>
                <w:sz w:val="24"/>
                <w:szCs w:val="24"/>
              </w:rPr>
              <w:t xml:space="preserve">single market </w:t>
            </w:r>
            <w:r w:rsidR="00595EAB">
              <w:rPr>
                <w:rFonts w:ascii="Times New Roman" w:hAnsi="Times New Roman"/>
                <w:sz w:val="24"/>
                <w:szCs w:val="24"/>
              </w:rPr>
              <w:t>brings to individual Member States</w:t>
            </w:r>
            <w:r w:rsidR="00BD6E74">
              <w:rPr>
                <w:rFonts w:ascii="Times New Roman" w:hAnsi="Times New Roman"/>
                <w:sz w:val="24"/>
                <w:szCs w:val="24"/>
              </w:rPr>
              <w:t>.</w:t>
            </w:r>
          </w:p>
          <w:p w14:paraId="5727183D" w14:textId="4B517AEF" w:rsidR="00595EAB" w:rsidRPr="006A663F" w:rsidRDefault="00595EAB" w:rsidP="00595EAB">
            <w:pPr>
              <w:spacing w:after="0"/>
              <w:rPr>
                <w:szCs w:val="24"/>
              </w:rPr>
            </w:pPr>
            <w:r>
              <w:rPr>
                <w:szCs w:val="24"/>
              </w:rPr>
              <w:t>T</w:t>
            </w:r>
            <w:r w:rsidRPr="002D236E">
              <w:rPr>
                <w:szCs w:val="24"/>
              </w:rPr>
              <w:t xml:space="preserve">he cost of </w:t>
            </w:r>
            <w:r>
              <w:rPr>
                <w:szCs w:val="24"/>
              </w:rPr>
              <w:t>submitting</w:t>
            </w:r>
            <w:r w:rsidRPr="002D236E">
              <w:rPr>
                <w:szCs w:val="24"/>
              </w:rPr>
              <w:t xml:space="preserve"> this </w:t>
            </w:r>
            <w:r>
              <w:rPr>
                <w:szCs w:val="24"/>
              </w:rPr>
              <w:t xml:space="preserve">information </w:t>
            </w:r>
            <w:r w:rsidRPr="002D236E">
              <w:rPr>
                <w:szCs w:val="24"/>
              </w:rPr>
              <w:t xml:space="preserve">should be small, because the information will be </w:t>
            </w:r>
            <w:r>
              <w:rPr>
                <w:szCs w:val="24"/>
              </w:rPr>
              <w:t xml:space="preserve">freely </w:t>
            </w:r>
            <w:r w:rsidRPr="002D236E">
              <w:rPr>
                <w:szCs w:val="24"/>
              </w:rPr>
              <w:t>publicly available (by 2020) under the latest Anti-Money Laundering Directive</w:t>
            </w:r>
            <w:r>
              <w:rPr>
                <w:rStyle w:val="FootnoteReference"/>
                <w:szCs w:val="24"/>
              </w:rPr>
              <w:footnoteReference w:id="7"/>
            </w:r>
            <w:r>
              <w:rPr>
                <w:szCs w:val="24"/>
              </w:rPr>
              <w:t xml:space="preserve"> and thus can be prefilled automatically</w:t>
            </w:r>
            <w:r w:rsidRPr="002D236E">
              <w:rPr>
                <w:szCs w:val="24"/>
              </w:rPr>
              <w:t xml:space="preserve">. </w:t>
            </w:r>
          </w:p>
        </w:tc>
      </w:tr>
      <w:tr w:rsidR="00595EAB" w14:paraId="35E2B16E" w14:textId="1A6EB82E" w:rsidTr="00365F90">
        <w:trPr>
          <w:tblHeader/>
        </w:trPr>
        <w:tc>
          <w:tcPr>
            <w:tcW w:w="697" w:type="pct"/>
            <w:shd w:val="clear" w:color="auto" w:fill="8DB3E2" w:themeFill="text2" w:themeFillTint="66"/>
          </w:tcPr>
          <w:p w14:paraId="65903C0E" w14:textId="0CE256E5" w:rsidR="00595EAB" w:rsidRPr="00103EFC" w:rsidRDefault="00595EAB" w:rsidP="00595EAB">
            <w:pPr>
              <w:spacing w:after="0"/>
              <w:rPr>
                <w:i/>
                <w:szCs w:val="24"/>
                <w:lang w:val="en-US"/>
              </w:rPr>
            </w:pPr>
            <w:r>
              <w:rPr>
                <w:i/>
                <w:szCs w:val="24"/>
              </w:rPr>
              <w:t xml:space="preserve">Winner Listed (BT-746) </w:t>
            </w:r>
          </w:p>
        </w:tc>
        <w:tc>
          <w:tcPr>
            <w:tcW w:w="2125" w:type="pct"/>
            <w:shd w:val="clear" w:color="auto" w:fill="8DB3E2" w:themeFill="text2" w:themeFillTint="66"/>
          </w:tcPr>
          <w:p w14:paraId="695CC4C4" w14:textId="1556A48F" w:rsidR="00595EAB" w:rsidRPr="002D45CF" w:rsidRDefault="00595EAB" w:rsidP="00595EAB">
            <w:pPr>
              <w:spacing w:after="0"/>
              <w:jc w:val="left"/>
            </w:pPr>
            <w:r>
              <w:t>”</w:t>
            </w:r>
            <w:r w:rsidRPr="009B2237">
              <w:t>The nationality (or nationalities) of the beneficiary owner(s) of the winner(s) is not published in the register(s) established by anti-money laundering legislation, because the winner is listed on a regulated market (e.g. a stock exchange) that ensures adequate transparency in line with anti-money laundering legislation.</w:t>
            </w:r>
            <w:r>
              <w:t xml:space="preserve">” </w:t>
            </w:r>
            <w:r>
              <w:rPr>
                <w:i/>
                <w:szCs w:val="24"/>
                <w:lang w:val="en-US"/>
              </w:rPr>
              <w:t>(Response: yes/no)</w:t>
            </w:r>
          </w:p>
        </w:tc>
        <w:tc>
          <w:tcPr>
            <w:tcW w:w="2178" w:type="pct"/>
          </w:tcPr>
          <w:p w14:paraId="26F591AF" w14:textId="18F12DEB" w:rsidR="00595EAB" w:rsidRDefault="00595EAB" w:rsidP="00595EAB">
            <w:pPr>
              <w:rPr>
                <w:szCs w:val="24"/>
              </w:rPr>
            </w:pPr>
            <w:r w:rsidRPr="00F0608F">
              <w:rPr>
                <w:szCs w:val="24"/>
                <w:lang w:val="en-US"/>
              </w:rPr>
              <w:t xml:space="preserve">This field </w:t>
            </w:r>
            <w:r>
              <w:rPr>
                <w:szCs w:val="24"/>
                <w:lang w:val="en-US"/>
              </w:rPr>
              <w:t xml:space="preserve">would </w:t>
            </w:r>
            <w:r w:rsidRPr="00F0608F">
              <w:rPr>
                <w:szCs w:val="24"/>
                <w:lang w:val="en-US"/>
              </w:rPr>
              <w:t>cover</w:t>
            </w:r>
            <w:r>
              <w:rPr>
                <w:szCs w:val="24"/>
                <w:lang w:val="en-US"/>
              </w:rPr>
              <w:t xml:space="preserve"> the</w:t>
            </w:r>
            <w:r w:rsidRPr="00F0608F">
              <w:rPr>
                <w:szCs w:val="24"/>
                <w:lang w:val="en-US"/>
              </w:rPr>
              <w:t xml:space="preserve"> cases not </w:t>
            </w:r>
            <w:r>
              <w:rPr>
                <w:szCs w:val="24"/>
                <w:lang w:val="en-US"/>
              </w:rPr>
              <w:t xml:space="preserve">catered for </w:t>
            </w:r>
            <w:r w:rsidRPr="00F0608F">
              <w:rPr>
                <w:szCs w:val="24"/>
                <w:lang w:val="en-US"/>
              </w:rPr>
              <w:t>by the field above.</w:t>
            </w:r>
          </w:p>
        </w:tc>
      </w:tr>
      <w:tr w:rsidR="00595EAB" w14:paraId="41C11592" w14:textId="57F1086E" w:rsidTr="00365F90">
        <w:trPr>
          <w:tblHeader/>
        </w:trPr>
        <w:tc>
          <w:tcPr>
            <w:tcW w:w="697" w:type="pct"/>
            <w:shd w:val="clear" w:color="auto" w:fill="8DB3E2" w:themeFill="text2" w:themeFillTint="66"/>
          </w:tcPr>
          <w:p w14:paraId="03216770" w14:textId="23040E9A" w:rsidR="00595EAB" w:rsidRPr="000C0744" w:rsidRDefault="00595EAB" w:rsidP="00595EAB">
            <w:pPr>
              <w:spacing w:after="0"/>
              <w:rPr>
                <w:i/>
                <w:szCs w:val="24"/>
              </w:rPr>
            </w:pPr>
            <w:r w:rsidRPr="000C0744">
              <w:rPr>
                <w:i/>
                <w:szCs w:val="24"/>
              </w:rPr>
              <w:t xml:space="preserve">Received Participation Requests (BT-152) </w:t>
            </w:r>
          </w:p>
        </w:tc>
        <w:tc>
          <w:tcPr>
            <w:tcW w:w="2125" w:type="pct"/>
            <w:shd w:val="clear" w:color="auto" w:fill="8DB3E2" w:themeFill="text2" w:themeFillTint="66"/>
          </w:tcPr>
          <w:p w14:paraId="3389E49E" w14:textId="4291564B" w:rsidR="00595EAB" w:rsidRPr="00664B3D" w:rsidRDefault="00595EAB" w:rsidP="00595EAB">
            <w:pPr>
              <w:spacing w:after="0"/>
              <w:jc w:val="left"/>
              <w:rPr>
                <w:szCs w:val="24"/>
              </w:rPr>
            </w:pPr>
            <w:r>
              <w:t>”</w:t>
            </w:r>
            <w:r w:rsidRPr="00664B3D">
              <w:rPr>
                <w:szCs w:val="24"/>
              </w:rPr>
              <w:t>Number of requests to participate received. All requests to participate received must be counted, regardless of whether they are admissible or inadmissible.</w:t>
            </w:r>
            <w:r>
              <w:t xml:space="preserve"> ”</w:t>
            </w:r>
          </w:p>
        </w:tc>
        <w:tc>
          <w:tcPr>
            <w:tcW w:w="2178" w:type="pct"/>
          </w:tcPr>
          <w:p w14:paraId="737A7415" w14:textId="6DBAE495" w:rsidR="00595EAB" w:rsidRDefault="00595EAB" w:rsidP="00595EAB">
            <w:pPr>
              <w:spacing w:after="0"/>
              <w:jc w:val="left"/>
              <w:rPr>
                <w:szCs w:val="24"/>
              </w:rPr>
            </w:pPr>
            <w:r>
              <w:rPr>
                <w:szCs w:val="24"/>
              </w:rPr>
              <w:t xml:space="preserve">This field would enable comparing the impacts of single and multiple-stage procedures (in particular open and restricted) on competition. More appropriate use of these procedures could significantly help solve procurement’s competition problems. </w:t>
            </w:r>
          </w:p>
          <w:p w14:paraId="66149BE4" w14:textId="79558922" w:rsidR="00595EAB" w:rsidRDefault="00595EAB" w:rsidP="00595EAB">
            <w:pPr>
              <w:spacing w:after="0"/>
              <w:jc w:val="left"/>
              <w:rPr>
                <w:szCs w:val="24"/>
              </w:rPr>
            </w:pPr>
          </w:p>
          <w:p w14:paraId="4C144C54" w14:textId="44A3F16E" w:rsidR="00595EAB" w:rsidRPr="00F30B45" w:rsidRDefault="00595EAB" w:rsidP="00595EAB">
            <w:pPr>
              <w:spacing w:after="0"/>
              <w:jc w:val="left"/>
              <w:rPr>
                <w:szCs w:val="24"/>
              </w:rPr>
            </w:pPr>
            <w:r>
              <w:rPr>
                <w:szCs w:val="24"/>
              </w:rPr>
              <w:t xml:space="preserve">The costs of submitting this information should be minimal, because electronic submission is mandatory and the number of requests to participate can be automatically prefilled from eSubmission modules. </w:t>
            </w:r>
          </w:p>
        </w:tc>
      </w:tr>
      <w:tr w:rsidR="00595EAB" w14:paraId="10740839" w14:textId="140C12FC" w:rsidTr="00365F90">
        <w:trPr>
          <w:tblHeader/>
        </w:trPr>
        <w:tc>
          <w:tcPr>
            <w:tcW w:w="697" w:type="pct"/>
            <w:shd w:val="clear" w:color="auto" w:fill="8DB3E2" w:themeFill="text2" w:themeFillTint="66"/>
          </w:tcPr>
          <w:p w14:paraId="1D7D7080" w14:textId="0BF150BA" w:rsidR="00595EAB" w:rsidRPr="000C0744" w:rsidRDefault="00595EAB" w:rsidP="00595EAB">
            <w:pPr>
              <w:pStyle w:val="NormalWeb"/>
              <w:spacing w:before="0" w:beforeAutospacing="0" w:after="0" w:afterAutospacing="0"/>
              <w:textAlignment w:val="baseline"/>
              <w:rPr>
                <w:i/>
                <w:color w:val="000000"/>
              </w:rPr>
            </w:pPr>
            <w:r w:rsidRPr="000C0744">
              <w:rPr>
                <w:i/>
                <w:color w:val="000000"/>
              </w:rPr>
              <w:t>Received Tenders SME (BT-148)</w:t>
            </w:r>
          </w:p>
          <w:p w14:paraId="520B35F8" w14:textId="32549CAE" w:rsidR="00595EAB" w:rsidRPr="000C0744" w:rsidRDefault="00595EAB" w:rsidP="00595EAB">
            <w:pPr>
              <w:pStyle w:val="NormalWeb"/>
              <w:spacing w:before="0" w:beforeAutospacing="0" w:after="0" w:afterAutospacing="0"/>
              <w:textAlignment w:val="baseline"/>
              <w:rPr>
                <w:i/>
                <w:color w:val="000000"/>
              </w:rPr>
            </w:pPr>
          </w:p>
        </w:tc>
        <w:tc>
          <w:tcPr>
            <w:tcW w:w="2125" w:type="pct"/>
            <w:shd w:val="clear" w:color="auto" w:fill="8DB3E2" w:themeFill="text2" w:themeFillTint="66"/>
          </w:tcPr>
          <w:p w14:paraId="13224F6D" w14:textId="0D15BA8D" w:rsidR="00595EAB" w:rsidRPr="00664B3D" w:rsidRDefault="00595EAB" w:rsidP="00595EAB">
            <w:pPr>
              <w:spacing w:after="0"/>
              <w:jc w:val="left"/>
              <w:rPr>
                <w:szCs w:val="24"/>
              </w:rPr>
            </w:pPr>
            <w:r>
              <w:t>”</w:t>
            </w:r>
            <w:r w:rsidRPr="00140DA9">
              <w:rPr>
                <w:szCs w:val="24"/>
              </w:rPr>
              <w:t>Number of tenders received from smal</w:t>
            </w:r>
            <w:r>
              <w:rPr>
                <w:szCs w:val="24"/>
              </w:rPr>
              <w:t>l and medium enterprises (SMEs). […]</w:t>
            </w:r>
            <w:r>
              <w:t>”</w:t>
            </w:r>
          </w:p>
        </w:tc>
        <w:tc>
          <w:tcPr>
            <w:tcW w:w="2178" w:type="pct"/>
            <w:vMerge w:val="restart"/>
          </w:tcPr>
          <w:p w14:paraId="3BBE1DF0" w14:textId="2AEF7C39" w:rsidR="00595EAB" w:rsidRPr="00D00B36" w:rsidRDefault="00142F84" w:rsidP="00595EAB">
            <w:pPr>
              <w:spacing w:after="0"/>
              <w:jc w:val="left"/>
              <w:rPr>
                <w:color w:val="000000"/>
                <w:szCs w:val="24"/>
              </w:rPr>
            </w:pPr>
            <w:r>
              <w:rPr>
                <w:color w:val="000000"/>
                <w:szCs w:val="24"/>
              </w:rPr>
              <w:t xml:space="preserve">These </w:t>
            </w:r>
            <w:r w:rsidR="00595EAB" w:rsidRPr="00D00B36">
              <w:rPr>
                <w:color w:val="000000"/>
                <w:szCs w:val="24"/>
              </w:rPr>
              <w:t xml:space="preserve">fields on received tenders are already mandatory for most types of notices. We suggest </w:t>
            </w:r>
            <w:r w:rsidR="00215620">
              <w:rPr>
                <w:color w:val="000000"/>
                <w:szCs w:val="24"/>
              </w:rPr>
              <w:t>adding</w:t>
            </w:r>
            <w:r w:rsidR="00215620" w:rsidRPr="00D00B36">
              <w:rPr>
                <w:color w:val="000000"/>
                <w:szCs w:val="24"/>
              </w:rPr>
              <w:t xml:space="preserve"> </w:t>
            </w:r>
            <w:r w:rsidR="00595EAB" w:rsidRPr="00D00B36">
              <w:rPr>
                <w:color w:val="000000"/>
                <w:szCs w:val="24"/>
              </w:rPr>
              <w:t xml:space="preserve">them for the light regime. </w:t>
            </w:r>
          </w:p>
          <w:p w14:paraId="4ADDCEEA" w14:textId="77777777" w:rsidR="00595EAB" w:rsidRDefault="00595EAB" w:rsidP="00595EAB">
            <w:pPr>
              <w:spacing w:after="0"/>
              <w:jc w:val="left"/>
              <w:rPr>
                <w:color w:val="000000"/>
                <w:szCs w:val="24"/>
              </w:rPr>
            </w:pPr>
          </w:p>
          <w:p w14:paraId="06A55BA9" w14:textId="407D6768" w:rsidR="00595EAB" w:rsidRPr="00664B3D" w:rsidRDefault="00595EAB" w:rsidP="00595EAB">
            <w:pPr>
              <w:spacing w:after="0"/>
              <w:jc w:val="left"/>
              <w:rPr>
                <w:color w:val="000000"/>
                <w:szCs w:val="24"/>
              </w:rPr>
            </w:pPr>
            <w:r>
              <w:rPr>
                <w:color w:val="000000"/>
                <w:szCs w:val="24"/>
              </w:rPr>
              <w:t xml:space="preserve">This </w:t>
            </w:r>
            <w:r w:rsidRPr="00664B3D">
              <w:rPr>
                <w:color w:val="000000"/>
                <w:szCs w:val="24"/>
              </w:rPr>
              <w:t xml:space="preserve">would </w:t>
            </w:r>
            <w:r>
              <w:rPr>
                <w:color w:val="000000"/>
                <w:szCs w:val="24"/>
              </w:rPr>
              <w:t xml:space="preserve">enable evaluating the impacts of the Directives on this </w:t>
            </w:r>
            <w:r w:rsidR="00581776">
              <w:rPr>
                <w:color w:val="000000"/>
                <w:szCs w:val="24"/>
              </w:rPr>
              <w:t>market</w:t>
            </w:r>
            <w:r w:rsidRPr="00664B3D">
              <w:rPr>
                <w:color w:val="000000"/>
                <w:szCs w:val="24"/>
              </w:rPr>
              <w:t>, esp. to understand cross-border interest</w:t>
            </w:r>
            <w:r>
              <w:rPr>
                <w:color w:val="000000"/>
                <w:szCs w:val="24"/>
              </w:rPr>
              <w:t>.</w:t>
            </w:r>
            <w:r w:rsidRPr="00664B3D">
              <w:rPr>
                <w:color w:val="000000"/>
                <w:szCs w:val="24"/>
              </w:rPr>
              <w:t xml:space="preserve"> </w:t>
            </w:r>
          </w:p>
          <w:p w14:paraId="10C000DE" w14:textId="5536F01E" w:rsidR="00595EAB" w:rsidRPr="00664B3D" w:rsidRDefault="00595EAB" w:rsidP="00595EAB">
            <w:pPr>
              <w:spacing w:after="0"/>
              <w:jc w:val="left"/>
              <w:rPr>
                <w:color w:val="000000"/>
                <w:szCs w:val="24"/>
              </w:rPr>
            </w:pPr>
          </w:p>
          <w:p w14:paraId="264DC464" w14:textId="53FA6848" w:rsidR="00595EAB" w:rsidRPr="00664B3D" w:rsidRDefault="00595EAB" w:rsidP="00595EAB">
            <w:pPr>
              <w:spacing w:after="0"/>
              <w:jc w:val="left"/>
              <w:rPr>
                <w:szCs w:val="24"/>
              </w:rPr>
            </w:pPr>
            <w:r>
              <w:rPr>
                <w:szCs w:val="24"/>
              </w:rPr>
              <w:t xml:space="preserve">The costs of submitting this information should be minimal, because electronic submission is mandatory and these fields can be automatically prefilled from eSubmission modules. </w:t>
            </w:r>
          </w:p>
        </w:tc>
      </w:tr>
      <w:tr w:rsidR="00595EAB" w14:paraId="249292CC" w14:textId="77777777" w:rsidTr="00365F90">
        <w:trPr>
          <w:tblHeader/>
        </w:trPr>
        <w:tc>
          <w:tcPr>
            <w:tcW w:w="697" w:type="pct"/>
            <w:shd w:val="clear" w:color="auto" w:fill="8DB3E2" w:themeFill="text2" w:themeFillTint="66"/>
          </w:tcPr>
          <w:p w14:paraId="02A39194" w14:textId="77777777" w:rsidR="00595EAB" w:rsidRPr="000C0744" w:rsidRDefault="00595EAB" w:rsidP="00595EAB">
            <w:pPr>
              <w:pStyle w:val="NormalWeb"/>
              <w:spacing w:before="0" w:beforeAutospacing="0" w:after="0"/>
              <w:textAlignment w:val="baseline"/>
              <w:rPr>
                <w:i/>
                <w:color w:val="000000"/>
              </w:rPr>
            </w:pPr>
            <w:r w:rsidRPr="000C0744">
              <w:rPr>
                <w:i/>
                <w:color w:val="000000"/>
              </w:rPr>
              <w:t>Received Tenders EU (BT-147)</w:t>
            </w:r>
          </w:p>
          <w:p w14:paraId="2DADEE19" w14:textId="4719D555" w:rsidR="00595EAB" w:rsidRPr="000C0744" w:rsidRDefault="00595EAB" w:rsidP="00595EAB">
            <w:pPr>
              <w:pStyle w:val="NormalWeb"/>
              <w:spacing w:before="0" w:beforeAutospacing="0" w:after="0" w:afterAutospacing="0"/>
              <w:textAlignment w:val="baseline"/>
              <w:rPr>
                <w:i/>
                <w:color w:val="000000"/>
              </w:rPr>
            </w:pPr>
          </w:p>
        </w:tc>
        <w:tc>
          <w:tcPr>
            <w:tcW w:w="2125" w:type="pct"/>
            <w:shd w:val="clear" w:color="auto" w:fill="8DB3E2" w:themeFill="text2" w:themeFillTint="66"/>
          </w:tcPr>
          <w:p w14:paraId="04940D20" w14:textId="45B30263" w:rsidR="00595EAB" w:rsidRPr="00140DA9" w:rsidRDefault="00595EAB" w:rsidP="00595EAB">
            <w:pPr>
              <w:spacing w:after="0"/>
              <w:jc w:val="left"/>
              <w:rPr>
                <w:szCs w:val="24"/>
              </w:rPr>
            </w:pPr>
            <w:r>
              <w:t>”</w:t>
            </w:r>
            <w:r w:rsidRPr="00140DA9">
              <w:rPr>
                <w:szCs w:val="24"/>
              </w:rPr>
              <w:t>Number of tenders received from tenderers registered in other European Economic Area countries</w:t>
            </w:r>
            <w:r>
              <w:rPr>
                <w:szCs w:val="24"/>
              </w:rPr>
              <w:t>. […]</w:t>
            </w:r>
            <w:r>
              <w:t>”</w:t>
            </w:r>
          </w:p>
        </w:tc>
        <w:tc>
          <w:tcPr>
            <w:tcW w:w="2178" w:type="pct"/>
            <w:vMerge/>
          </w:tcPr>
          <w:p w14:paraId="3EC84883" w14:textId="77777777" w:rsidR="00595EAB" w:rsidRPr="00664B3D" w:rsidRDefault="00595EAB" w:rsidP="00595EAB">
            <w:pPr>
              <w:spacing w:after="0"/>
              <w:jc w:val="left"/>
              <w:rPr>
                <w:color w:val="000000"/>
                <w:szCs w:val="24"/>
              </w:rPr>
            </w:pPr>
          </w:p>
        </w:tc>
      </w:tr>
      <w:tr w:rsidR="00595EAB" w14:paraId="195DDC85" w14:textId="77777777" w:rsidTr="00365F90">
        <w:trPr>
          <w:tblHeader/>
        </w:trPr>
        <w:tc>
          <w:tcPr>
            <w:tcW w:w="697" w:type="pct"/>
            <w:shd w:val="clear" w:color="auto" w:fill="8DB3E2" w:themeFill="text2" w:themeFillTint="66"/>
          </w:tcPr>
          <w:p w14:paraId="32CC5DA9" w14:textId="1725D80A" w:rsidR="00595EAB" w:rsidRPr="000C0744" w:rsidRDefault="00595EAB" w:rsidP="00595EAB">
            <w:pPr>
              <w:pStyle w:val="NormalWeb"/>
              <w:spacing w:before="0" w:beforeAutospacing="0" w:after="0" w:afterAutospacing="0"/>
              <w:textAlignment w:val="baseline"/>
              <w:rPr>
                <w:i/>
                <w:color w:val="000000"/>
              </w:rPr>
            </w:pPr>
            <w:r w:rsidRPr="000C0744">
              <w:rPr>
                <w:i/>
                <w:color w:val="000000"/>
              </w:rPr>
              <w:t>Received Tenders Non EU (BT-723)</w:t>
            </w:r>
          </w:p>
        </w:tc>
        <w:tc>
          <w:tcPr>
            <w:tcW w:w="2125" w:type="pct"/>
            <w:shd w:val="clear" w:color="auto" w:fill="8DB3E2" w:themeFill="text2" w:themeFillTint="66"/>
          </w:tcPr>
          <w:p w14:paraId="6531F9FA" w14:textId="0252BE5A" w:rsidR="00595EAB" w:rsidRPr="00140DA9" w:rsidRDefault="00595EAB" w:rsidP="00595EAB">
            <w:pPr>
              <w:spacing w:after="0"/>
              <w:jc w:val="left"/>
              <w:rPr>
                <w:szCs w:val="24"/>
              </w:rPr>
            </w:pPr>
            <w:r>
              <w:t>”</w:t>
            </w:r>
            <w:r w:rsidRPr="00140DA9">
              <w:rPr>
                <w:szCs w:val="24"/>
              </w:rPr>
              <w:t>Number of tenders received from tenderers registered in countries outside of the European Economic Area.</w:t>
            </w:r>
            <w:r>
              <w:rPr>
                <w:szCs w:val="24"/>
              </w:rPr>
              <w:t xml:space="preserve"> […]</w:t>
            </w:r>
            <w:r>
              <w:t>”</w:t>
            </w:r>
          </w:p>
        </w:tc>
        <w:tc>
          <w:tcPr>
            <w:tcW w:w="2178" w:type="pct"/>
            <w:vMerge/>
          </w:tcPr>
          <w:p w14:paraId="494FE701" w14:textId="77777777" w:rsidR="00595EAB" w:rsidRPr="00664B3D" w:rsidRDefault="00595EAB" w:rsidP="00595EAB">
            <w:pPr>
              <w:spacing w:after="0"/>
              <w:jc w:val="left"/>
              <w:rPr>
                <w:color w:val="000000"/>
                <w:szCs w:val="24"/>
              </w:rPr>
            </w:pPr>
          </w:p>
        </w:tc>
      </w:tr>
      <w:tr w:rsidR="00595EAB" w14:paraId="278609E3" w14:textId="77777777" w:rsidTr="00365F90">
        <w:trPr>
          <w:tblHeader/>
        </w:trPr>
        <w:tc>
          <w:tcPr>
            <w:tcW w:w="697" w:type="pct"/>
            <w:shd w:val="clear" w:color="auto" w:fill="8DB3E2" w:themeFill="text2" w:themeFillTint="66"/>
          </w:tcPr>
          <w:p w14:paraId="7E28B484" w14:textId="7A048308" w:rsidR="00595EAB" w:rsidRPr="000C0744" w:rsidRDefault="00595EAB" w:rsidP="00595EAB">
            <w:pPr>
              <w:spacing w:after="0"/>
              <w:rPr>
                <w:i/>
                <w:color w:val="000000"/>
                <w:szCs w:val="24"/>
              </w:rPr>
            </w:pPr>
            <w:r w:rsidRPr="000C0744">
              <w:rPr>
                <w:i/>
                <w:szCs w:val="24"/>
              </w:rPr>
              <w:t>Received Tenders Inadmissible (BT</w:t>
            </w:r>
            <w:r>
              <w:rPr>
                <w:i/>
                <w:szCs w:val="24"/>
              </w:rPr>
              <w:noBreakHyphen/>
            </w:r>
            <w:r w:rsidRPr="000C0744">
              <w:rPr>
                <w:i/>
                <w:szCs w:val="24"/>
              </w:rPr>
              <w:t xml:space="preserve">741) </w:t>
            </w:r>
          </w:p>
        </w:tc>
        <w:tc>
          <w:tcPr>
            <w:tcW w:w="2125" w:type="pct"/>
            <w:shd w:val="clear" w:color="auto" w:fill="8DB3E2" w:themeFill="text2" w:themeFillTint="66"/>
          </w:tcPr>
          <w:p w14:paraId="7AA23AD7" w14:textId="687A1BEE" w:rsidR="00595EAB" w:rsidRPr="00664B3D" w:rsidRDefault="00595EAB" w:rsidP="00595EAB">
            <w:pPr>
              <w:spacing w:after="0"/>
              <w:jc w:val="left"/>
              <w:rPr>
                <w:szCs w:val="24"/>
              </w:rPr>
            </w:pPr>
            <w:r>
              <w:t>”</w:t>
            </w:r>
            <w:r w:rsidRPr="00F0608F">
              <w:rPr>
                <w:szCs w:val="24"/>
              </w:rPr>
              <w:t>Number of tenders received that were found inadmissible. A tender is found inadmissible where it has been verified that it has been submitted by a tenderer who has been excluded or who did not meet the selection criteria, or when it is not in conformity with the technical specifications, or is irregular (e.g. it was received late, having an abnormally low price or cost), unacceptable or unsuitable.</w:t>
            </w:r>
            <w:r>
              <w:t>”</w:t>
            </w:r>
          </w:p>
        </w:tc>
        <w:tc>
          <w:tcPr>
            <w:tcW w:w="2178" w:type="pct"/>
          </w:tcPr>
          <w:p w14:paraId="1B089D74" w14:textId="6EE1D203" w:rsidR="00595EAB" w:rsidRDefault="00595EAB" w:rsidP="00595EAB">
            <w:pPr>
              <w:spacing w:after="0"/>
              <w:rPr>
                <w:color w:val="000000"/>
                <w:szCs w:val="24"/>
              </w:rPr>
            </w:pPr>
            <w:r>
              <w:rPr>
                <w:color w:val="000000"/>
                <w:szCs w:val="24"/>
              </w:rPr>
              <w:t>Inadmissible tenders represent wasted time and opportunities – of companies and buyers. Consequently, this information would help identify low professionalism and address it. Furthermore, inadmissible tenders may indicate collusion</w:t>
            </w:r>
            <w:r>
              <w:rPr>
                <w:rStyle w:val="FootnoteReference"/>
                <w:color w:val="000000"/>
                <w:szCs w:val="24"/>
              </w:rPr>
              <w:footnoteReference w:id="8"/>
            </w:r>
            <w:r>
              <w:rPr>
                <w:color w:val="000000"/>
                <w:szCs w:val="24"/>
              </w:rPr>
              <w:t xml:space="preserve">. </w:t>
            </w:r>
          </w:p>
          <w:p w14:paraId="155A134A" w14:textId="77777777" w:rsidR="00595EAB" w:rsidRDefault="00595EAB" w:rsidP="00595EAB">
            <w:pPr>
              <w:spacing w:after="0"/>
              <w:rPr>
                <w:color w:val="000000"/>
                <w:szCs w:val="24"/>
              </w:rPr>
            </w:pPr>
          </w:p>
          <w:p w14:paraId="3CB832EE" w14:textId="3F6B7B93" w:rsidR="00595EAB" w:rsidRPr="00E640B5" w:rsidRDefault="00595EAB" w:rsidP="00595EAB">
            <w:pPr>
              <w:spacing w:after="0"/>
              <w:rPr>
                <w:color w:val="000000"/>
                <w:szCs w:val="24"/>
                <w:lang w:val="en-US"/>
              </w:rPr>
            </w:pPr>
            <w:r>
              <w:rPr>
                <w:color w:val="000000"/>
                <w:szCs w:val="24"/>
              </w:rPr>
              <w:t xml:space="preserve">The costs of submitting this information should be small, because it is just one (already collected) number. Furthermore, the information can </w:t>
            </w:r>
            <w:r w:rsidR="00A0214D">
              <w:rPr>
                <w:color w:val="000000"/>
                <w:szCs w:val="24"/>
              </w:rPr>
              <w:t xml:space="preserve">automatically </w:t>
            </w:r>
            <w:r>
              <w:rPr>
                <w:color w:val="000000"/>
                <w:szCs w:val="24"/>
              </w:rPr>
              <w:t xml:space="preserve">come from e-evaluation modules. </w:t>
            </w:r>
          </w:p>
        </w:tc>
      </w:tr>
      <w:tr w:rsidR="00595EAB" w14:paraId="12A40C4E" w14:textId="77777777" w:rsidTr="00365F90">
        <w:trPr>
          <w:tblHeader/>
        </w:trPr>
        <w:tc>
          <w:tcPr>
            <w:tcW w:w="697" w:type="pct"/>
            <w:shd w:val="clear" w:color="auto" w:fill="8DB3E2" w:themeFill="text2" w:themeFillTint="66"/>
          </w:tcPr>
          <w:p w14:paraId="636948BA" w14:textId="5DA4A471" w:rsidR="00595EAB" w:rsidRPr="000C0744" w:rsidRDefault="00595EAB" w:rsidP="00595EAB">
            <w:pPr>
              <w:spacing w:after="0"/>
              <w:rPr>
                <w:i/>
                <w:szCs w:val="24"/>
              </w:rPr>
            </w:pPr>
            <w:r w:rsidRPr="000C0744">
              <w:rPr>
                <w:i/>
                <w:szCs w:val="24"/>
              </w:rPr>
              <w:t>Received Tenders Unverified (BT</w:t>
            </w:r>
            <w:r>
              <w:rPr>
                <w:i/>
                <w:szCs w:val="24"/>
              </w:rPr>
              <w:noBreakHyphen/>
            </w:r>
            <w:r w:rsidRPr="000C0744">
              <w:rPr>
                <w:i/>
                <w:szCs w:val="24"/>
              </w:rPr>
              <w:t>742)</w:t>
            </w:r>
          </w:p>
          <w:p w14:paraId="688DA680" w14:textId="77777777" w:rsidR="00595EAB" w:rsidRPr="000C0744" w:rsidRDefault="00595EAB" w:rsidP="00595EAB">
            <w:pPr>
              <w:spacing w:after="0"/>
              <w:rPr>
                <w:i/>
                <w:szCs w:val="24"/>
              </w:rPr>
            </w:pPr>
          </w:p>
        </w:tc>
        <w:tc>
          <w:tcPr>
            <w:tcW w:w="2125" w:type="pct"/>
            <w:shd w:val="clear" w:color="auto" w:fill="8DB3E2" w:themeFill="text2" w:themeFillTint="66"/>
          </w:tcPr>
          <w:p w14:paraId="1D396973" w14:textId="2DD326FF" w:rsidR="00595EAB" w:rsidRPr="00664B3D" w:rsidRDefault="00595EAB" w:rsidP="00595EAB">
            <w:pPr>
              <w:spacing w:after="0"/>
              <w:jc w:val="left"/>
              <w:rPr>
                <w:szCs w:val="24"/>
              </w:rPr>
            </w:pPr>
            <w:r>
              <w:t>”</w:t>
            </w:r>
            <w:r w:rsidRPr="00F0608F">
              <w:rPr>
                <w:szCs w:val="24"/>
              </w:rPr>
              <w:t>Number of tenders received for which it has not been verified if they are admissible or inadmiss</w:t>
            </w:r>
            <w:r>
              <w:rPr>
                <w:szCs w:val="24"/>
              </w:rPr>
              <w:t>i</w:t>
            </w:r>
            <w:r w:rsidRPr="00F0608F">
              <w:rPr>
                <w:szCs w:val="24"/>
              </w:rPr>
              <w:t>ble (e.g. because award criteria have been evaluated for all tenders and admissibility is checked only for the winning tender).</w:t>
            </w:r>
            <w:r>
              <w:t>”</w:t>
            </w:r>
          </w:p>
        </w:tc>
        <w:tc>
          <w:tcPr>
            <w:tcW w:w="2178" w:type="pct"/>
          </w:tcPr>
          <w:p w14:paraId="3E8F184D" w14:textId="5A9D040A" w:rsidR="00595EAB" w:rsidRPr="00664B3D" w:rsidRDefault="00595EAB" w:rsidP="00595EAB">
            <w:pPr>
              <w:spacing w:after="0"/>
              <w:jc w:val="left"/>
              <w:rPr>
                <w:color w:val="000000"/>
                <w:szCs w:val="24"/>
              </w:rPr>
            </w:pPr>
            <w:r w:rsidRPr="00F0608F">
              <w:rPr>
                <w:szCs w:val="24"/>
                <w:lang w:val="en-US"/>
              </w:rPr>
              <w:t xml:space="preserve">This field </w:t>
            </w:r>
            <w:r>
              <w:rPr>
                <w:szCs w:val="24"/>
                <w:lang w:val="en-US"/>
              </w:rPr>
              <w:t xml:space="preserve">would </w:t>
            </w:r>
            <w:r w:rsidRPr="00F0608F">
              <w:rPr>
                <w:szCs w:val="24"/>
                <w:lang w:val="en-US"/>
              </w:rPr>
              <w:t>cover</w:t>
            </w:r>
            <w:r>
              <w:rPr>
                <w:szCs w:val="24"/>
                <w:lang w:val="en-US"/>
              </w:rPr>
              <w:t xml:space="preserve"> the</w:t>
            </w:r>
            <w:r w:rsidRPr="00F0608F">
              <w:rPr>
                <w:szCs w:val="24"/>
                <w:lang w:val="en-US"/>
              </w:rPr>
              <w:t xml:space="preserve"> cases not </w:t>
            </w:r>
            <w:r>
              <w:rPr>
                <w:szCs w:val="24"/>
                <w:lang w:val="en-US"/>
              </w:rPr>
              <w:t xml:space="preserve">catered for </w:t>
            </w:r>
            <w:r w:rsidRPr="00F0608F">
              <w:rPr>
                <w:szCs w:val="24"/>
                <w:lang w:val="en-US"/>
              </w:rPr>
              <w:t>by the field above.</w:t>
            </w:r>
          </w:p>
        </w:tc>
      </w:tr>
      <w:tr w:rsidR="00595EAB" w14:paraId="574C6EB6" w14:textId="77777777" w:rsidTr="00365F90">
        <w:trPr>
          <w:tblHeader/>
        </w:trPr>
        <w:tc>
          <w:tcPr>
            <w:tcW w:w="697" w:type="pct"/>
            <w:shd w:val="clear" w:color="auto" w:fill="8DB3E2" w:themeFill="text2" w:themeFillTint="66"/>
          </w:tcPr>
          <w:p w14:paraId="13931528" w14:textId="0C5F39FA" w:rsidR="00595EAB" w:rsidRPr="000C0744" w:rsidRDefault="00595EAB" w:rsidP="00595EAB">
            <w:pPr>
              <w:pStyle w:val="NormalWeb"/>
              <w:spacing w:before="0" w:beforeAutospacing="0" w:after="0" w:afterAutospacing="0"/>
              <w:textAlignment w:val="baseline"/>
              <w:rPr>
                <w:i/>
                <w:color w:val="000000"/>
              </w:rPr>
            </w:pPr>
            <w:r w:rsidRPr="000C0744">
              <w:rPr>
                <w:i/>
              </w:rPr>
              <w:t>Review Requests (BT-712)</w:t>
            </w:r>
          </w:p>
        </w:tc>
        <w:tc>
          <w:tcPr>
            <w:tcW w:w="2125" w:type="pct"/>
            <w:shd w:val="clear" w:color="auto" w:fill="8DB3E2" w:themeFill="text2" w:themeFillTint="66"/>
          </w:tcPr>
          <w:p w14:paraId="0C9F5A6E" w14:textId="0FAAF582" w:rsidR="00595EAB" w:rsidRPr="00664B3D" w:rsidRDefault="00595EAB" w:rsidP="00231E9F">
            <w:pPr>
              <w:spacing w:after="0"/>
              <w:jc w:val="left"/>
              <w:rPr>
                <w:szCs w:val="24"/>
              </w:rPr>
            </w:pPr>
            <w:r>
              <w:t>”</w:t>
            </w:r>
            <w:r w:rsidRPr="00664B3D">
              <w:rPr>
                <w:szCs w:val="24"/>
              </w:rPr>
              <w:t>Number of tenderers that requested the buyer to review the award decision.</w:t>
            </w:r>
            <w:r>
              <w:t>”</w:t>
            </w:r>
          </w:p>
        </w:tc>
        <w:tc>
          <w:tcPr>
            <w:tcW w:w="2178" w:type="pct"/>
          </w:tcPr>
          <w:p w14:paraId="7B9C7ECD" w14:textId="6B1548D1" w:rsidR="00595EAB" w:rsidRPr="00664B3D" w:rsidRDefault="00595EAB" w:rsidP="00595EAB">
            <w:pPr>
              <w:spacing w:after="0"/>
              <w:jc w:val="left"/>
              <w:rPr>
                <w:szCs w:val="24"/>
              </w:rPr>
            </w:pPr>
            <w:r w:rsidRPr="00664B3D">
              <w:rPr>
                <w:szCs w:val="24"/>
              </w:rPr>
              <w:t xml:space="preserve">This </w:t>
            </w:r>
            <w:r>
              <w:rPr>
                <w:szCs w:val="24"/>
              </w:rPr>
              <w:t xml:space="preserve">field measures the use of </w:t>
            </w:r>
            <w:r w:rsidRPr="00664B3D">
              <w:rPr>
                <w:szCs w:val="24"/>
              </w:rPr>
              <w:t xml:space="preserve">Art. 1(5) of Directives 89/665/EEC and 92/13/EEC (“the review Directives”). </w:t>
            </w:r>
          </w:p>
          <w:p w14:paraId="3DB97802" w14:textId="77777777" w:rsidR="00595EAB" w:rsidRPr="00664B3D" w:rsidRDefault="00595EAB" w:rsidP="00595EAB">
            <w:pPr>
              <w:spacing w:after="0"/>
              <w:jc w:val="left"/>
              <w:rPr>
                <w:szCs w:val="24"/>
              </w:rPr>
            </w:pPr>
          </w:p>
          <w:p w14:paraId="33B08552" w14:textId="59939599" w:rsidR="00595EAB" w:rsidRDefault="00595EAB" w:rsidP="00595EAB">
            <w:pPr>
              <w:spacing w:after="0"/>
              <w:jc w:val="left"/>
              <w:rPr>
                <w:szCs w:val="24"/>
              </w:rPr>
            </w:pPr>
            <w:r>
              <w:rPr>
                <w:szCs w:val="24"/>
              </w:rPr>
              <w:t xml:space="preserve">Complaints </w:t>
            </w:r>
            <w:r w:rsidRPr="00664B3D">
              <w:rPr>
                <w:szCs w:val="24"/>
              </w:rPr>
              <w:t xml:space="preserve">indicate potential problems with professionalism, can explain slow procurement procedures, and </w:t>
            </w:r>
            <w:r w:rsidR="004D0BA9">
              <w:rPr>
                <w:szCs w:val="24"/>
              </w:rPr>
              <w:t xml:space="preserve">can help </w:t>
            </w:r>
            <w:r w:rsidRPr="00664B3D">
              <w:rPr>
                <w:szCs w:val="24"/>
              </w:rPr>
              <w:t>evalua</w:t>
            </w:r>
            <w:r w:rsidR="004D0BA9">
              <w:rPr>
                <w:szCs w:val="24"/>
              </w:rPr>
              <w:t>te</w:t>
            </w:r>
            <w:r w:rsidRPr="00664B3D">
              <w:rPr>
                <w:szCs w:val="24"/>
              </w:rPr>
              <w:t xml:space="preserve"> the costs for buyers stemming from the need to respond to such requests. </w:t>
            </w:r>
          </w:p>
          <w:p w14:paraId="202EA84E" w14:textId="77777777" w:rsidR="00595EAB" w:rsidRDefault="00595EAB" w:rsidP="00595EAB">
            <w:pPr>
              <w:spacing w:after="0"/>
              <w:jc w:val="left"/>
              <w:rPr>
                <w:szCs w:val="24"/>
              </w:rPr>
            </w:pPr>
          </w:p>
          <w:p w14:paraId="585CD898" w14:textId="492BEFC9" w:rsidR="00595EAB" w:rsidRPr="00664B3D" w:rsidRDefault="00595EAB" w:rsidP="00595EAB">
            <w:pPr>
              <w:spacing w:after="0"/>
              <w:jc w:val="left"/>
              <w:rPr>
                <w:color w:val="000000"/>
                <w:szCs w:val="24"/>
              </w:rPr>
            </w:pPr>
            <w:r>
              <w:rPr>
                <w:color w:val="000000"/>
                <w:szCs w:val="24"/>
              </w:rPr>
              <w:t xml:space="preserve">The costs of submitting this information should be small, because it is just one (already collected) number. </w:t>
            </w:r>
          </w:p>
        </w:tc>
      </w:tr>
      <w:tr w:rsidR="00595EAB" w14:paraId="56F9627D" w14:textId="77777777" w:rsidTr="00365F90">
        <w:trPr>
          <w:tblHeader/>
        </w:trPr>
        <w:tc>
          <w:tcPr>
            <w:tcW w:w="697" w:type="pct"/>
            <w:shd w:val="clear" w:color="auto" w:fill="8DB3E2" w:themeFill="text2" w:themeFillTint="66"/>
          </w:tcPr>
          <w:p w14:paraId="415D658D" w14:textId="77777777" w:rsidR="00595EAB" w:rsidRPr="000C0744" w:rsidRDefault="00595EAB" w:rsidP="00595EAB">
            <w:pPr>
              <w:spacing w:after="0"/>
              <w:rPr>
                <w:i/>
                <w:szCs w:val="24"/>
              </w:rPr>
            </w:pPr>
            <w:r w:rsidRPr="000C0744">
              <w:rPr>
                <w:i/>
                <w:szCs w:val="24"/>
              </w:rPr>
              <w:t>Strategic procurement (BT</w:t>
            </w:r>
            <w:r>
              <w:rPr>
                <w:i/>
                <w:szCs w:val="24"/>
              </w:rPr>
              <w:noBreakHyphen/>
            </w:r>
            <w:r w:rsidRPr="000C0744">
              <w:rPr>
                <w:i/>
                <w:szCs w:val="24"/>
              </w:rPr>
              <w:t>06)</w:t>
            </w:r>
          </w:p>
          <w:p w14:paraId="3EA62431" w14:textId="77777777" w:rsidR="00595EAB" w:rsidRPr="000C0744" w:rsidRDefault="00595EAB" w:rsidP="00595EAB">
            <w:pPr>
              <w:spacing w:after="0"/>
              <w:rPr>
                <w:i/>
              </w:rPr>
            </w:pPr>
          </w:p>
        </w:tc>
        <w:tc>
          <w:tcPr>
            <w:tcW w:w="2125" w:type="pct"/>
            <w:shd w:val="clear" w:color="auto" w:fill="8DB3E2" w:themeFill="text2" w:themeFillTint="66"/>
          </w:tcPr>
          <w:p w14:paraId="06C73130" w14:textId="370DA70B" w:rsidR="00595EAB" w:rsidRDefault="00595EAB" w:rsidP="00595EAB">
            <w:pPr>
              <w:spacing w:after="0"/>
              <w:jc w:val="left"/>
            </w:pPr>
            <w:r>
              <w:t>“</w:t>
            </w:r>
            <w:r w:rsidRPr="001E1009">
              <w:t>A technical specification, award criterion, or contract performance condition aims to reduce the environmental impacts of the procurement, fulfil social objectives and/or buy an innovative work, supply or service.</w:t>
            </w:r>
            <w:r>
              <w:t xml:space="preserve"> “</w:t>
            </w:r>
          </w:p>
        </w:tc>
        <w:tc>
          <w:tcPr>
            <w:tcW w:w="2178" w:type="pct"/>
          </w:tcPr>
          <w:p w14:paraId="22B6B98F" w14:textId="1F1D97BB" w:rsidR="00595EAB" w:rsidRPr="00840363" w:rsidRDefault="00595EAB" w:rsidP="00365F90">
            <w:pPr>
              <w:spacing w:after="0"/>
              <w:rPr>
                <w:szCs w:val="24"/>
                <w:lang w:val="en-US"/>
              </w:rPr>
            </w:pPr>
            <w:r>
              <w:rPr>
                <w:szCs w:val="24"/>
              </w:rPr>
              <w:t xml:space="preserve">This field would bring basic information on so-called green, social and innovative procurement. It relies on self-evaluation by buyers and does not provide a more detailed definition because no EU-wide definitions are </w:t>
            </w:r>
            <w:r>
              <w:rPr>
                <w:szCs w:val="24"/>
                <w:lang w:val="en-US"/>
              </w:rPr>
              <w:t>currently available.</w:t>
            </w:r>
          </w:p>
        </w:tc>
      </w:tr>
      <w:tr w:rsidR="00595EAB" w14:paraId="722979BF" w14:textId="77777777" w:rsidTr="00365F90">
        <w:trPr>
          <w:tblHeader/>
        </w:trPr>
        <w:tc>
          <w:tcPr>
            <w:tcW w:w="697" w:type="pct"/>
            <w:shd w:val="clear" w:color="auto" w:fill="8DB3E2" w:themeFill="text2" w:themeFillTint="66"/>
          </w:tcPr>
          <w:p w14:paraId="6024217B" w14:textId="101C9B9D" w:rsidR="00595EAB" w:rsidRPr="000C0744" w:rsidRDefault="00595EAB" w:rsidP="00595EAB">
            <w:pPr>
              <w:spacing w:after="0"/>
              <w:rPr>
                <w:i/>
                <w:szCs w:val="24"/>
              </w:rPr>
            </w:pPr>
            <w:r w:rsidRPr="002B593A">
              <w:rPr>
                <w:i/>
                <w:szCs w:val="24"/>
              </w:rPr>
              <w:t>Accessibility (BT</w:t>
            </w:r>
            <w:r w:rsidRPr="002B593A">
              <w:rPr>
                <w:i/>
                <w:szCs w:val="24"/>
              </w:rPr>
              <w:noBreakHyphen/>
              <w:t>754)</w:t>
            </w:r>
          </w:p>
        </w:tc>
        <w:tc>
          <w:tcPr>
            <w:tcW w:w="2125" w:type="pct"/>
            <w:shd w:val="clear" w:color="auto" w:fill="8DB3E2" w:themeFill="text2" w:themeFillTint="66"/>
          </w:tcPr>
          <w:p w14:paraId="65255841" w14:textId="4455AA4F" w:rsidR="00595EAB" w:rsidRDefault="00595EAB" w:rsidP="00595EAB">
            <w:pPr>
              <w:spacing w:after="0"/>
              <w:jc w:val="left"/>
            </w:pPr>
            <w:r>
              <w:t>“</w:t>
            </w:r>
            <w:r w:rsidRPr="0058376A">
              <w:t>The use of accessibility criteria for persons with disabilities in the technical specifications.</w:t>
            </w:r>
            <w:r>
              <w:t>”</w:t>
            </w:r>
          </w:p>
        </w:tc>
        <w:tc>
          <w:tcPr>
            <w:tcW w:w="2178" w:type="pct"/>
          </w:tcPr>
          <w:p w14:paraId="77B6BCB1" w14:textId="7C6A3C6C" w:rsidR="00595EAB" w:rsidRDefault="00595EAB" w:rsidP="00365F90">
            <w:pPr>
              <w:spacing w:after="0"/>
              <w:rPr>
                <w:iCs/>
                <w:szCs w:val="24"/>
                <w:lang w:eastAsia="en-GB"/>
              </w:rPr>
            </w:pPr>
            <w:r>
              <w:rPr>
                <w:iCs/>
                <w:szCs w:val="24"/>
                <w:lang w:eastAsia="en-GB"/>
              </w:rPr>
              <w:t xml:space="preserve">Art. 42(1) of Directive 2014/24/EU obliges buyers to include accessibility considerations in technical specifications, unless duly justified. </w:t>
            </w:r>
          </w:p>
          <w:p w14:paraId="64B79705" w14:textId="19034154" w:rsidR="00595EAB" w:rsidRPr="00C44F9F" w:rsidRDefault="00595EAB" w:rsidP="00365F90">
            <w:pPr>
              <w:spacing w:after="0"/>
              <w:rPr>
                <w:iCs/>
                <w:szCs w:val="24"/>
                <w:lang w:eastAsia="en-GB"/>
              </w:rPr>
            </w:pPr>
            <w:r>
              <w:rPr>
                <w:iCs/>
                <w:szCs w:val="24"/>
                <w:lang w:eastAsia="en-GB"/>
              </w:rPr>
              <w:t xml:space="preserve">This field would help monitor the extent to which </w:t>
            </w:r>
            <w:r w:rsidR="0075552F">
              <w:rPr>
                <w:iCs/>
                <w:szCs w:val="24"/>
                <w:lang w:eastAsia="en-GB"/>
              </w:rPr>
              <w:t xml:space="preserve">duly </w:t>
            </w:r>
            <w:r>
              <w:rPr>
                <w:iCs/>
                <w:szCs w:val="24"/>
                <w:lang w:eastAsia="en-GB"/>
              </w:rPr>
              <w:t xml:space="preserve">justified exceptions are being used. This is particularly </w:t>
            </w:r>
            <w:r w:rsidR="0075552F">
              <w:rPr>
                <w:iCs/>
                <w:szCs w:val="24"/>
                <w:lang w:eastAsia="en-GB"/>
              </w:rPr>
              <w:t xml:space="preserve">relevant </w:t>
            </w:r>
            <w:r>
              <w:rPr>
                <w:iCs/>
                <w:szCs w:val="24"/>
                <w:lang w:eastAsia="en-GB"/>
              </w:rPr>
              <w:t>in the context of the recently adopted E</w:t>
            </w:r>
            <w:r w:rsidRPr="00F7410B">
              <w:rPr>
                <w:iCs/>
                <w:szCs w:val="24"/>
                <w:lang w:eastAsia="en-GB"/>
              </w:rPr>
              <w:t>uropean Accessibility Act</w:t>
            </w:r>
            <w:r>
              <w:rPr>
                <w:iCs/>
                <w:szCs w:val="24"/>
                <w:lang w:eastAsia="en-GB"/>
              </w:rPr>
              <w:t>.</w:t>
            </w:r>
          </w:p>
        </w:tc>
      </w:tr>
    </w:tbl>
    <w:p w14:paraId="5D0573CB" w14:textId="0672F72E" w:rsidR="00705119" w:rsidRDefault="00705119" w:rsidP="00705119">
      <w:pPr>
        <w:pStyle w:val="Caption"/>
        <w:keepNext/>
      </w:pPr>
      <w:r>
        <w:t>Justifications</w:t>
      </w:r>
    </w:p>
    <w:p w14:paraId="370CB6E5" w14:textId="0DDEE1FB" w:rsidR="00705119" w:rsidRPr="00705119" w:rsidRDefault="004F16BC" w:rsidP="004F16BC">
      <w:pPr>
        <w:pStyle w:val="Text2"/>
        <w:ind w:left="0"/>
      </w:pPr>
      <w:r>
        <w:t xml:space="preserve">A particular type of policy fields are justifications. </w:t>
      </w:r>
      <w:r w:rsidR="00705119">
        <w:t xml:space="preserve">In many cases, the Directive </w:t>
      </w:r>
      <w:r w:rsidR="00756A09">
        <w:t>sets out special cases that require</w:t>
      </w:r>
      <w:r w:rsidR="00705119">
        <w:t xml:space="preserve"> justifications</w:t>
      </w:r>
      <w:r w:rsidR="00756A09">
        <w:t xml:space="preserve">, </w:t>
      </w:r>
      <w:r w:rsidR="00705119">
        <w:t xml:space="preserve">but </w:t>
      </w:r>
      <w:r w:rsidR="00756A09">
        <w:t xml:space="preserve">it </w:t>
      </w:r>
      <w:r w:rsidR="00705119">
        <w:t xml:space="preserve">does not specify where these justifications should be included. </w:t>
      </w:r>
      <w:r w:rsidR="009D512F">
        <w:t xml:space="preserve">Since preparing a justifications takes the same effort regardless of where it is published, it </w:t>
      </w:r>
      <w:r w:rsidR="003025D9">
        <w:t xml:space="preserve">seems the most reasonable to </w:t>
      </w:r>
      <w:r w:rsidR="009D512F">
        <w:t xml:space="preserve">include </w:t>
      </w:r>
      <w:r w:rsidR="00705119">
        <w:t>justification</w:t>
      </w:r>
      <w:r w:rsidR="009D512F">
        <w:t>s</w:t>
      </w:r>
      <w:r w:rsidR="00705119">
        <w:t xml:space="preserve"> </w:t>
      </w:r>
      <w:r w:rsidR="009D512F">
        <w:t>in the notices</w:t>
      </w:r>
      <w:r w:rsidR="00401183">
        <w:t xml:space="preserve">, because </w:t>
      </w:r>
      <w:r w:rsidR="009D512F">
        <w:t>they contribute to the transparency of procurement</w:t>
      </w:r>
      <w:r w:rsidR="00756A09">
        <w:t xml:space="preserve"> also vis-à-vis citizens</w:t>
      </w:r>
      <w:r w:rsidR="009D512F">
        <w:t xml:space="preserve">. Furthermore, </w:t>
      </w:r>
      <w:r w:rsidR="00B27C17">
        <w:t xml:space="preserve">several of the justifications below are codes and can consequently be analysed to understand, for example, what are the most common reasons for not publishing information about awarded contracts. </w:t>
      </w:r>
    </w:p>
    <w:p w14:paraId="15E33A6F" w14:textId="51D419A9" w:rsidR="00741676" w:rsidRPr="00741676" w:rsidRDefault="00741676" w:rsidP="00741676">
      <w:pPr>
        <w:pStyle w:val="Caption"/>
        <w:keepNext/>
        <w:spacing w:before="0" w:after="0"/>
        <w:jc w:val="left"/>
        <w:rPr>
          <w:sz w:val="20"/>
        </w:rPr>
      </w:pPr>
      <w:r w:rsidRPr="00741676">
        <w:rPr>
          <w:sz w:val="20"/>
        </w:rPr>
        <w:t>Policy fields II (justifications)</w:t>
      </w:r>
    </w:p>
    <w:tbl>
      <w:tblPr>
        <w:tblStyle w:val="TableGrid"/>
        <w:tblW w:w="5000" w:type="pct"/>
        <w:tblLook w:val="04A0" w:firstRow="1" w:lastRow="0" w:firstColumn="1" w:lastColumn="0" w:noHBand="0" w:noVBand="1"/>
      </w:tblPr>
      <w:tblGrid>
        <w:gridCol w:w="2093"/>
        <w:gridCol w:w="6381"/>
        <w:gridCol w:w="6540"/>
      </w:tblGrid>
      <w:tr w:rsidR="00DB7BA0" w14:paraId="151E08DC" w14:textId="77777777" w:rsidTr="00DB7BA0">
        <w:tc>
          <w:tcPr>
            <w:tcW w:w="697" w:type="pct"/>
            <w:shd w:val="clear" w:color="auto" w:fill="8DB3E2" w:themeFill="text2" w:themeFillTint="66"/>
          </w:tcPr>
          <w:p w14:paraId="4F1FDD96" w14:textId="39288D33" w:rsidR="00DB7BA0" w:rsidRPr="00A732D5" w:rsidRDefault="00DB7BA0" w:rsidP="00DB7BA0">
            <w:pPr>
              <w:spacing w:after="0"/>
              <w:rPr>
                <w:b/>
                <w:i/>
              </w:rPr>
            </w:pPr>
            <w:r w:rsidRPr="00A732D5">
              <w:rPr>
                <w:b/>
              </w:rPr>
              <w:t>Name</w:t>
            </w:r>
          </w:p>
        </w:tc>
        <w:tc>
          <w:tcPr>
            <w:tcW w:w="2125" w:type="pct"/>
            <w:shd w:val="clear" w:color="auto" w:fill="8DB3E2" w:themeFill="text2" w:themeFillTint="66"/>
          </w:tcPr>
          <w:p w14:paraId="14849026" w14:textId="598300B4" w:rsidR="00DB7BA0" w:rsidRPr="00A732D5" w:rsidRDefault="00DB7BA0" w:rsidP="00DB7BA0">
            <w:pPr>
              <w:spacing w:after="0"/>
              <w:jc w:val="left"/>
              <w:rPr>
                <w:b/>
              </w:rPr>
            </w:pPr>
            <w:r w:rsidRPr="00A732D5">
              <w:rPr>
                <w:b/>
              </w:rPr>
              <w:t xml:space="preserve">Description </w:t>
            </w:r>
          </w:p>
        </w:tc>
        <w:tc>
          <w:tcPr>
            <w:tcW w:w="2178" w:type="pct"/>
            <w:shd w:val="clear" w:color="auto" w:fill="8DB3E2" w:themeFill="text2" w:themeFillTint="66"/>
          </w:tcPr>
          <w:p w14:paraId="3C9AAE50" w14:textId="74DC972C" w:rsidR="00DB7BA0" w:rsidRPr="00A732D5" w:rsidRDefault="00DB7BA0" w:rsidP="00DB7BA0">
            <w:pPr>
              <w:spacing w:after="0"/>
              <w:jc w:val="left"/>
              <w:rPr>
                <w:b/>
              </w:rPr>
            </w:pPr>
            <w:r w:rsidRPr="00A732D5">
              <w:rPr>
                <w:b/>
              </w:rPr>
              <w:t>Considerations</w:t>
            </w:r>
          </w:p>
        </w:tc>
      </w:tr>
      <w:tr w:rsidR="00DB7BA0" w14:paraId="1D6318E0" w14:textId="1166371C" w:rsidTr="00322B73">
        <w:tc>
          <w:tcPr>
            <w:tcW w:w="697" w:type="pct"/>
            <w:shd w:val="clear" w:color="auto" w:fill="8DB3E2" w:themeFill="text2" w:themeFillTint="66"/>
          </w:tcPr>
          <w:p w14:paraId="5A27C478" w14:textId="40CC0175" w:rsidR="00DB7BA0" w:rsidRPr="000C0744" w:rsidRDefault="00DB7BA0" w:rsidP="00DB7BA0">
            <w:pPr>
              <w:spacing w:after="0"/>
              <w:rPr>
                <w:i/>
              </w:rPr>
            </w:pPr>
            <w:r w:rsidRPr="000C0744">
              <w:rPr>
                <w:i/>
              </w:rPr>
              <w:t>Award Criteria Order Justification</w:t>
            </w:r>
            <w:r>
              <w:rPr>
                <w:i/>
              </w:rPr>
              <w:t xml:space="preserve"> (</w:t>
            </w:r>
            <w:r w:rsidRPr="000C0744">
              <w:rPr>
                <w:i/>
              </w:rPr>
              <w:t>BT-733</w:t>
            </w:r>
            <w:r>
              <w:rPr>
                <w:i/>
              </w:rPr>
              <w:t>)</w:t>
            </w:r>
          </w:p>
        </w:tc>
        <w:tc>
          <w:tcPr>
            <w:tcW w:w="2125" w:type="pct"/>
            <w:shd w:val="clear" w:color="auto" w:fill="8DB3E2" w:themeFill="text2" w:themeFillTint="66"/>
          </w:tcPr>
          <w:p w14:paraId="42A91113" w14:textId="39CD8AD0" w:rsidR="00DB7BA0" w:rsidRDefault="00DB7BA0" w:rsidP="00DB7BA0">
            <w:pPr>
              <w:spacing w:after="0"/>
              <w:jc w:val="left"/>
            </w:pPr>
            <w:r>
              <w:t>“</w:t>
            </w:r>
            <w:r w:rsidRPr="00E640B5">
              <w:t>Justification for only indicating the award criteria's order of importance, not their weighing.</w:t>
            </w:r>
            <w:r>
              <w:t xml:space="preserve">” </w:t>
            </w:r>
          </w:p>
        </w:tc>
        <w:tc>
          <w:tcPr>
            <w:tcW w:w="2178" w:type="pct"/>
          </w:tcPr>
          <w:p w14:paraId="1FC33B93" w14:textId="4885E48C" w:rsidR="00DB7BA0" w:rsidRDefault="00DB7BA0" w:rsidP="00DB7BA0">
            <w:pPr>
              <w:spacing w:after="0"/>
              <w:jc w:val="left"/>
            </w:pPr>
            <w:r>
              <w:t>According to Rec. 90 (last paragraph) of Directive 2014/24/EU, instead of indicating the weighing of award criteria, buyers should be permitted “</w:t>
            </w:r>
            <w:r w:rsidRPr="004A022F">
              <w:t>in duly justified cases for which they must be able to give reasons</w:t>
            </w:r>
            <w:r>
              <w:t xml:space="preserve">” to indicate the order of </w:t>
            </w:r>
            <w:r w:rsidRPr="004A022F">
              <w:t>importance.</w:t>
            </w:r>
            <w:r>
              <w:t xml:space="preserve"> </w:t>
            </w:r>
          </w:p>
          <w:p w14:paraId="539DAF24" w14:textId="2F379425" w:rsidR="00DB7BA0" w:rsidRDefault="00DB7BA0" w:rsidP="00DB7BA0">
            <w:pPr>
              <w:spacing w:after="0"/>
              <w:jc w:val="left"/>
            </w:pPr>
          </w:p>
          <w:p w14:paraId="47D640E5" w14:textId="16C6089F" w:rsidR="00DB7BA0" w:rsidRDefault="00DB7BA0" w:rsidP="00DB7BA0">
            <w:pPr>
              <w:spacing w:after="0"/>
              <w:jc w:val="left"/>
            </w:pPr>
            <w:r>
              <w:t xml:space="preserve">Anecdotally, this provision seems to be used extremely rarely. This field would bring more transparency to the use of this provision and help prevents its misuse. </w:t>
            </w:r>
          </w:p>
          <w:p w14:paraId="20055E0E" w14:textId="77777777" w:rsidR="00DB7BA0" w:rsidRDefault="00DB7BA0" w:rsidP="00DB7BA0">
            <w:pPr>
              <w:spacing w:after="0"/>
              <w:jc w:val="left"/>
            </w:pPr>
          </w:p>
          <w:p w14:paraId="6B00EBCD" w14:textId="323F3722" w:rsidR="00DB7BA0" w:rsidRPr="00616A4B" w:rsidRDefault="00DB7BA0" w:rsidP="00DB7BA0">
            <w:pPr>
              <w:spacing w:after="0"/>
              <w:jc w:val="left"/>
              <w:rPr>
                <w:lang w:val="en-US"/>
              </w:rPr>
            </w:pPr>
            <w:r>
              <w:t>Given the minimal use</w:t>
            </w:r>
            <w:r w:rsidR="0072165E">
              <w:t xml:space="preserve"> of this provision</w:t>
            </w:r>
            <w:r>
              <w:t>, the costs linked to filling this field should be minimal.</w:t>
            </w:r>
          </w:p>
        </w:tc>
      </w:tr>
      <w:tr w:rsidR="00DB7BA0" w14:paraId="3C4D7622" w14:textId="1CC0FF5B" w:rsidTr="00322B73">
        <w:tc>
          <w:tcPr>
            <w:tcW w:w="697" w:type="pct"/>
            <w:shd w:val="clear" w:color="auto" w:fill="8DB3E2" w:themeFill="text2" w:themeFillTint="66"/>
          </w:tcPr>
          <w:p w14:paraId="3564653E" w14:textId="7A52D0A3" w:rsidR="00DB7BA0" w:rsidRPr="000C0744" w:rsidRDefault="00DB7BA0" w:rsidP="00DB7BA0">
            <w:pPr>
              <w:spacing w:after="0"/>
              <w:rPr>
                <w:i/>
              </w:rPr>
            </w:pPr>
            <w:r w:rsidRPr="000C0744">
              <w:rPr>
                <w:i/>
              </w:rPr>
              <w:t>Documents Restricted Justification</w:t>
            </w:r>
            <w:r>
              <w:rPr>
                <w:i/>
              </w:rPr>
              <w:t xml:space="preserve"> (</w:t>
            </w:r>
            <w:r w:rsidRPr="000C0744">
              <w:rPr>
                <w:i/>
              </w:rPr>
              <w:t>BT</w:t>
            </w:r>
            <w:r>
              <w:rPr>
                <w:i/>
              </w:rPr>
              <w:noBreakHyphen/>
            </w:r>
            <w:r w:rsidRPr="000C0744">
              <w:rPr>
                <w:i/>
              </w:rPr>
              <w:t>707</w:t>
            </w:r>
            <w:r>
              <w:rPr>
                <w:i/>
              </w:rPr>
              <w:t>)</w:t>
            </w:r>
          </w:p>
        </w:tc>
        <w:tc>
          <w:tcPr>
            <w:tcW w:w="2125" w:type="pct"/>
            <w:shd w:val="clear" w:color="auto" w:fill="8DB3E2" w:themeFill="text2" w:themeFillTint="66"/>
          </w:tcPr>
          <w:p w14:paraId="6F5AAD02" w14:textId="77777777" w:rsidR="00DB7BA0" w:rsidRDefault="00DB7BA0" w:rsidP="00DB7BA0">
            <w:pPr>
              <w:spacing w:after="0"/>
              <w:jc w:val="left"/>
            </w:pPr>
            <w:r>
              <w:t xml:space="preserve"> “</w:t>
            </w:r>
            <w:r w:rsidRPr="00E640B5">
              <w:t>The justification for restricting access to certain procurement documents.</w:t>
            </w:r>
            <w:r>
              <w:t>”</w:t>
            </w:r>
          </w:p>
          <w:p w14:paraId="4AE971D8" w14:textId="77777777" w:rsidR="00DB7BA0" w:rsidRPr="003025D9" w:rsidRDefault="00DB7BA0" w:rsidP="00DB7BA0">
            <w:pPr>
              <w:spacing w:after="0"/>
              <w:jc w:val="left"/>
              <w:rPr>
                <w:i/>
              </w:rPr>
            </w:pPr>
            <w:r w:rsidRPr="003025D9">
              <w:rPr>
                <w:i/>
              </w:rPr>
              <w:t>(codelist</w:t>
            </w:r>
            <w:r>
              <w:rPr>
                <w:i/>
              </w:rPr>
              <w:t xml:space="preserve"> only</w:t>
            </w:r>
            <w:r w:rsidRPr="003025D9">
              <w:rPr>
                <w:i/>
              </w:rPr>
              <w:t>)</w:t>
            </w:r>
          </w:p>
          <w:p w14:paraId="678CC361" w14:textId="4976D874" w:rsidR="00DB7BA0" w:rsidRDefault="00DB7BA0" w:rsidP="00DB7BA0">
            <w:pPr>
              <w:spacing w:after="0"/>
              <w:jc w:val="left"/>
            </w:pPr>
          </w:p>
        </w:tc>
        <w:tc>
          <w:tcPr>
            <w:tcW w:w="2178" w:type="pct"/>
          </w:tcPr>
          <w:p w14:paraId="1E30417F" w14:textId="3A901407" w:rsidR="00DB7BA0" w:rsidRDefault="00DB7BA0" w:rsidP="00DB7BA0">
            <w:pPr>
              <w:spacing w:after="0"/>
              <w:jc w:val="left"/>
            </w:pPr>
            <w:r>
              <w:t>This field would bring more transparency to the use of the provision on restricting access to procurement documents and help prevent its misuse.</w:t>
            </w:r>
          </w:p>
        </w:tc>
      </w:tr>
      <w:tr w:rsidR="00DB7BA0" w14:paraId="2FE0340B" w14:textId="303E6C0B" w:rsidTr="00322B73">
        <w:tc>
          <w:tcPr>
            <w:tcW w:w="697" w:type="pct"/>
            <w:shd w:val="clear" w:color="auto" w:fill="8DB3E2" w:themeFill="text2" w:themeFillTint="66"/>
          </w:tcPr>
          <w:p w14:paraId="000B0835" w14:textId="11941074" w:rsidR="00DB7BA0" w:rsidRPr="000C0744" w:rsidRDefault="00DB7BA0" w:rsidP="00DB7BA0">
            <w:pPr>
              <w:spacing w:after="0"/>
              <w:rPr>
                <w:i/>
              </w:rPr>
            </w:pPr>
            <w:r w:rsidRPr="000C0744">
              <w:rPr>
                <w:i/>
              </w:rPr>
              <w:t>Submission Nonelectronic Justification</w:t>
            </w:r>
            <w:r>
              <w:rPr>
                <w:i/>
              </w:rPr>
              <w:t xml:space="preserve"> (</w:t>
            </w:r>
            <w:r w:rsidRPr="000C0744">
              <w:rPr>
                <w:i/>
              </w:rPr>
              <w:t>BT</w:t>
            </w:r>
            <w:r>
              <w:rPr>
                <w:i/>
              </w:rPr>
              <w:noBreakHyphen/>
            </w:r>
            <w:r w:rsidRPr="000C0744">
              <w:rPr>
                <w:i/>
              </w:rPr>
              <w:t>19</w:t>
            </w:r>
            <w:r>
              <w:rPr>
                <w:i/>
              </w:rPr>
              <w:t>)</w:t>
            </w:r>
          </w:p>
        </w:tc>
        <w:tc>
          <w:tcPr>
            <w:tcW w:w="2125" w:type="pct"/>
            <w:shd w:val="clear" w:color="auto" w:fill="8DB3E2" w:themeFill="text2" w:themeFillTint="66"/>
          </w:tcPr>
          <w:p w14:paraId="2946A20A" w14:textId="77777777" w:rsidR="00DB7BA0" w:rsidRDefault="00DB7BA0" w:rsidP="00DB7BA0">
            <w:pPr>
              <w:spacing w:after="0"/>
              <w:jc w:val="left"/>
            </w:pPr>
            <w:r>
              <w:t xml:space="preserve"> “</w:t>
            </w:r>
            <w:r w:rsidRPr="00E640B5">
              <w:t>Justification for electronic submission of tenders not being possible.</w:t>
            </w:r>
            <w:r>
              <w:t>”</w:t>
            </w:r>
          </w:p>
          <w:p w14:paraId="70897484" w14:textId="77777777" w:rsidR="00DB7BA0" w:rsidRPr="003025D9" w:rsidRDefault="00DB7BA0" w:rsidP="00DB7BA0">
            <w:pPr>
              <w:spacing w:after="0"/>
              <w:jc w:val="left"/>
              <w:rPr>
                <w:i/>
              </w:rPr>
            </w:pPr>
            <w:r w:rsidRPr="003025D9">
              <w:rPr>
                <w:i/>
              </w:rPr>
              <w:t>(codelist</w:t>
            </w:r>
            <w:r>
              <w:rPr>
                <w:i/>
              </w:rPr>
              <w:t xml:space="preserve"> only</w:t>
            </w:r>
            <w:r w:rsidRPr="003025D9">
              <w:rPr>
                <w:i/>
              </w:rPr>
              <w:t>)</w:t>
            </w:r>
          </w:p>
          <w:p w14:paraId="42467700" w14:textId="7A3DA096" w:rsidR="00DB7BA0" w:rsidRDefault="00DB7BA0" w:rsidP="00DB7BA0">
            <w:pPr>
              <w:spacing w:after="0"/>
              <w:jc w:val="left"/>
            </w:pPr>
          </w:p>
        </w:tc>
        <w:tc>
          <w:tcPr>
            <w:tcW w:w="2178" w:type="pct"/>
          </w:tcPr>
          <w:p w14:paraId="2450191D" w14:textId="5E2EFD3B" w:rsidR="00DB7BA0" w:rsidRDefault="00DB7BA0" w:rsidP="00DB7BA0">
            <w:pPr>
              <w:spacing w:after="0"/>
              <w:jc w:val="left"/>
            </w:pPr>
            <w:r>
              <w:t>This field would bring more transparency to the use of the provision on restricting access to procurement documents and help prevent its misuse.</w:t>
            </w:r>
          </w:p>
        </w:tc>
      </w:tr>
      <w:tr w:rsidR="00DB7BA0" w14:paraId="03CCE9ED" w14:textId="1DAB7937" w:rsidTr="00322B73">
        <w:trPr>
          <w:trHeight w:val="880"/>
        </w:trPr>
        <w:tc>
          <w:tcPr>
            <w:tcW w:w="697" w:type="pct"/>
            <w:shd w:val="clear" w:color="auto" w:fill="8DB3E2" w:themeFill="text2" w:themeFillTint="66"/>
          </w:tcPr>
          <w:p w14:paraId="5E2D4F45" w14:textId="54E1545C" w:rsidR="00DB7BA0" w:rsidRPr="000C0744" w:rsidRDefault="00DB7BA0" w:rsidP="00DB7BA0">
            <w:pPr>
              <w:spacing w:after="0"/>
              <w:rPr>
                <w:i/>
              </w:rPr>
            </w:pPr>
            <w:r w:rsidRPr="000C0744">
              <w:rPr>
                <w:i/>
              </w:rPr>
              <w:t>Unpublished Justification Code</w:t>
            </w:r>
            <w:r>
              <w:rPr>
                <w:i/>
              </w:rPr>
              <w:t xml:space="preserve"> (BT-197)</w:t>
            </w:r>
          </w:p>
          <w:p w14:paraId="28CA188E" w14:textId="7B1E8EE6" w:rsidR="00DB7BA0" w:rsidRPr="000C0744" w:rsidRDefault="00DB7BA0" w:rsidP="00DB7BA0">
            <w:pPr>
              <w:spacing w:after="0"/>
              <w:rPr>
                <w:i/>
              </w:rPr>
            </w:pPr>
          </w:p>
        </w:tc>
        <w:tc>
          <w:tcPr>
            <w:tcW w:w="2125" w:type="pct"/>
            <w:shd w:val="clear" w:color="auto" w:fill="8DB3E2" w:themeFill="text2" w:themeFillTint="66"/>
          </w:tcPr>
          <w:p w14:paraId="36F116E4" w14:textId="77777777" w:rsidR="00DB7BA0" w:rsidRDefault="00DB7BA0" w:rsidP="00DB7BA0">
            <w:pPr>
              <w:spacing w:after="0"/>
              <w:jc w:val="left"/>
            </w:pPr>
            <w:r>
              <w:t>“</w:t>
            </w:r>
            <w:r w:rsidRPr="00E640B5">
              <w:t>Justification for not immediately publishing a field.</w:t>
            </w:r>
            <w:r>
              <w:t xml:space="preserve"> “</w:t>
            </w:r>
          </w:p>
          <w:p w14:paraId="0BA2F320" w14:textId="77777777" w:rsidR="00DB7BA0" w:rsidRPr="003025D9" w:rsidRDefault="00DB7BA0" w:rsidP="00DB7BA0">
            <w:pPr>
              <w:spacing w:after="0"/>
              <w:jc w:val="left"/>
              <w:rPr>
                <w:i/>
              </w:rPr>
            </w:pPr>
            <w:r w:rsidRPr="003025D9">
              <w:rPr>
                <w:i/>
              </w:rPr>
              <w:t>(codelist</w:t>
            </w:r>
            <w:r>
              <w:rPr>
                <w:i/>
              </w:rPr>
              <w:t xml:space="preserve"> only</w:t>
            </w:r>
            <w:r w:rsidRPr="003025D9">
              <w:rPr>
                <w:i/>
              </w:rPr>
              <w:t>)</w:t>
            </w:r>
          </w:p>
          <w:p w14:paraId="6C1CD71A" w14:textId="1D894A38" w:rsidR="00DB7BA0" w:rsidRDefault="00DB7BA0" w:rsidP="00DB7BA0">
            <w:pPr>
              <w:spacing w:after="0"/>
              <w:jc w:val="left"/>
            </w:pPr>
          </w:p>
        </w:tc>
        <w:tc>
          <w:tcPr>
            <w:tcW w:w="2178" w:type="pct"/>
            <w:vMerge w:val="restart"/>
          </w:tcPr>
          <w:p w14:paraId="31E99134" w14:textId="03702448" w:rsidR="00DB7BA0" w:rsidRDefault="00DB7BA0" w:rsidP="00DB7BA0">
            <w:pPr>
              <w:spacing w:after="0"/>
              <w:jc w:val="left"/>
              <w:rPr>
                <w:lang w:val="en-US"/>
              </w:rPr>
            </w:pPr>
            <w:r>
              <w:t xml:space="preserve">The mechanism for not publishing fields is based on </w:t>
            </w:r>
            <w:r>
              <w:rPr>
                <w:lang w:val="en-US"/>
              </w:rPr>
              <w:t xml:space="preserve">Art. 50(4) of Directive 2014/24/EU. </w:t>
            </w:r>
          </w:p>
          <w:p w14:paraId="002C7FCE" w14:textId="4EEC0BB2" w:rsidR="00DB7BA0" w:rsidRDefault="00DB7BA0" w:rsidP="00DB7BA0">
            <w:pPr>
              <w:spacing w:after="0"/>
              <w:jc w:val="left"/>
              <w:rPr>
                <w:lang w:val="en-US"/>
              </w:rPr>
            </w:pPr>
          </w:p>
          <w:p w14:paraId="50899217" w14:textId="445D3313" w:rsidR="00DB7BA0" w:rsidRDefault="00DB7BA0" w:rsidP="00DB7BA0">
            <w:pPr>
              <w:spacing w:after="0"/>
              <w:jc w:val="left"/>
              <w:rPr>
                <w:lang w:val="en-US"/>
              </w:rPr>
            </w:pPr>
            <w:r>
              <w:rPr>
                <w:lang w:val="en-US"/>
              </w:rPr>
              <w:t xml:space="preserve">This provision was not reflected in Implementing Regulation 2015/1986, i.e. it was not possible to mark fields as unpublished. Furthermore, we are aware that the interpretation of this provision has been very different in the past. For example, while many countries never use this provision, in other countries it was used to not publish the value of notices in up to 80% of </w:t>
            </w:r>
            <w:r w:rsidR="001412A5">
              <w:rPr>
                <w:lang w:val="en-US"/>
              </w:rPr>
              <w:t>procedures</w:t>
            </w:r>
            <w:r>
              <w:rPr>
                <w:lang w:val="en-US"/>
              </w:rPr>
              <w:t xml:space="preserve">. </w:t>
            </w:r>
          </w:p>
          <w:p w14:paraId="615790EE" w14:textId="00384AD4" w:rsidR="00DB7BA0" w:rsidRDefault="00DB7BA0" w:rsidP="00DB7BA0">
            <w:pPr>
              <w:spacing w:after="0"/>
              <w:jc w:val="left"/>
              <w:rPr>
                <w:lang w:val="en-US"/>
              </w:rPr>
            </w:pPr>
          </w:p>
          <w:p w14:paraId="2974E048" w14:textId="0002A8C1" w:rsidR="00DB7BA0" w:rsidRPr="00D55E22" w:rsidRDefault="00DB7BA0" w:rsidP="00DB7BA0">
            <w:pPr>
              <w:spacing w:after="0"/>
              <w:jc w:val="left"/>
              <w:rPr>
                <w:lang w:val="en-US"/>
              </w:rPr>
            </w:pPr>
            <w:r>
              <w:rPr>
                <w:lang w:val="en-US"/>
              </w:rPr>
              <w:t xml:space="preserve">Consequently, we believe transparency on how this provision is used is necessary. This will allow the development of a more harmonized approach as well as avoid its misuse. </w:t>
            </w:r>
          </w:p>
        </w:tc>
      </w:tr>
      <w:tr w:rsidR="00DB7BA0" w14:paraId="16B3CBAF" w14:textId="77777777" w:rsidTr="00322B73">
        <w:trPr>
          <w:trHeight w:val="879"/>
        </w:trPr>
        <w:tc>
          <w:tcPr>
            <w:tcW w:w="697" w:type="pct"/>
            <w:shd w:val="clear" w:color="auto" w:fill="8DB3E2" w:themeFill="text2" w:themeFillTint="66"/>
          </w:tcPr>
          <w:p w14:paraId="13E48292" w14:textId="6375EF67" w:rsidR="00DB7BA0" w:rsidRPr="000C0744" w:rsidRDefault="00DB7BA0" w:rsidP="00DB7BA0">
            <w:pPr>
              <w:spacing w:after="0"/>
              <w:rPr>
                <w:i/>
              </w:rPr>
            </w:pPr>
            <w:r w:rsidRPr="000C0744">
              <w:rPr>
                <w:i/>
              </w:rPr>
              <w:t>Unpublished Justification Description</w:t>
            </w:r>
            <w:r>
              <w:rPr>
                <w:i/>
              </w:rPr>
              <w:t xml:space="preserve"> (</w:t>
            </w:r>
            <w:r w:rsidRPr="000C0744">
              <w:rPr>
                <w:i/>
              </w:rPr>
              <w:t>BT</w:t>
            </w:r>
            <w:r>
              <w:rPr>
                <w:i/>
              </w:rPr>
              <w:noBreakHyphen/>
            </w:r>
            <w:r w:rsidRPr="000C0744">
              <w:rPr>
                <w:i/>
              </w:rPr>
              <w:t>196</w:t>
            </w:r>
            <w:r>
              <w:rPr>
                <w:i/>
              </w:rPr>
              <w:t>)</w:t>
            </w:r>
          </w:p>
        </w:tc>
        <w:tc>
          <w:tcPr>
            <w:tcW w:w="2125" w:type="pct"/>
            <w:shd w:val="clear" w:color="auto" w:fill="8DB3E2" w:themeFill="text2" w:themeFillTint="66"/>
          </w:tcPr>
          <w:p w14:paraId="4071E3A5" w14:textId="78B41B1F" w:rsidR="00DB7BA0" w:rsidRDefault="00DB7BA0" w:rsidP="00DB7BA0">
            <w:pPr>
              <w:spacing w:after="0"/>
              <w:jc w:val="left"/>
            </w:pPr>
            <w:r>
              <w:t>“</w:t>
            </w:r>
            <w:r w:rsidRPr="00E640B5">
              <w:t>Justification for not immediately publishing a field and for the choice of a later date at which it can be published.</w:t>
            </w:r>
            <w:r>
              <w:t xml:space="preserve"> “</w:t>
            </w:r>
          </w:p>
        </w:tc>
        <w:tc>
          <w:tcPr>
            <w:tcW w:w="2178" w:type="pct"/>
            <w:vMerge/>
          </w:tcPr>
          <w:p w14:paraId="6C370B27" w14:textId="77777777" w:rsidR="00DB7BA0" w:rsidRDefault="00DB7BA0" w:rsidP="00DB7BA0">
            <w:pPr>
              <w:spacing w:after="0"/>
              <w:jc w:val="left"/>
            </w:pPr>
          </w:p>
        </w:tc>
      </w:tr>
      <w:tr w:rsidR="00DB7BA0" w14:paraId="6A18A453" w14:textId="77777777" w:rsidTr="00322B73">
        <w:trPr>
          <w:trHeight w:val="879"/>
        </w:trPr>
        <w:tc>
          <w:tcPr>
            <w:tcW w:w="697" w:type="pct"/>
            <w:shd w:val="clear" w:color="auto" w:fill="8DB3E2" w:themeFill="text2" w:themeFillTint="66"/>
          </w:tcPr>
          <w:p w14:paraId="1C855CAA" w14:textId="5BC7647C" w:rsidR="00DB7BA0" w:rsidRPr="000C0744" w:rsidRDefault="00DB7BA0" w:rsidP="00DB7BA0">
            <w:pPr>
              <w:spacing w:after="0"/>
              <w:rPr>
                <w:i/>
              </w:rPr>
            </w:pPr>
            <w:r w:rsidRPr="00BE7106">
              <w:rPr>
                <w:i/>
              </w:rPr>
              <w:t>Accessibility Justification</w:t>
            </w:r>
            <w:r>
              <w:rPr>
                <w:i/>
              </w:rPr>
              <w:t xml:space="preserve"> (BT</w:t>
            </w:r>
            <w:r>
              <w:rPr>
                <w:i/>
              </w:rPr>
              <w:noBreakHyphen/>
            </w:r>
            <w:r w:rsidRPr="00BE7106">
              <w:rPr>
                <w:i/>
              </w:rPr>
              <w:t>755</w:t>
            </w:r>
            <w:r>
              <w:rPr>
                <w:i/>
              </w:rPr>
              <w:t>)</w:t>
            </w:r>
          </w:p>
        </w:tc>
        <w:tc>
          <w:tcPr>
            <w:tcW w:w="2125" w:type="pct"/>
            <w:shd w:val="clear" w:color="auto" w:fill="8DB3E2" w:themeFill="text2" w:themeFillTint="66"/>
          </w:tcPr>
          <w:p w14:paraId="434099AF" w14:textId="6B483654" w:rsidR="00DB7BA0" w:rsidRDefault="00DB7BA0" w:rsidP="00DB7BA0">
            <w:pPr>
              <w:spacing w:after="0"/>
              <w:jc w:val="left"/>
            </w:pPr>
            <w:r>
              <w:t>“</w:t>
            </w:r>
            <w:r w:rsidRPr="0058376A">
              <w:t>Justification for not including accessibility criteria even though the procurement is intended for use by natural persons.</w:t>
            </w:r>
            <w:r>
              <w:t>”</w:t>
            </w:r>
          </w:p>
        </w:tc>
        <w:tc>
          <w:tcPr>
            <w:tcW w:w="2178" w:type="pct"/>
          </w:tcPr>
          <w:p w14:paraId="2054A3B2" w14:textId="46E21159" w:rsidR="00DB7BA0" w:rsidRDefault="00595583" w:rsidP="002C0F20">
            <w:pPr>
              <w:spacing w:after="0"/>
              <w:jc w:val="left"/>
            </w:pPr>
            <w:r>
              <w:rPr>
                <w:iCs/>
                <w:szCs w:val="24"/>
                <w:lang w:eastAsia="en-GB"/>
              </w:rPr>
              <w:t>Art. 42(1) of Directive 2014/24/EU does not provide any guidance on what is a duly justified case.</w:t>
            </w:r>
            <w:r w:rsidR="002C0F20">
              <w:rPr>
                <w:iCs/>
                <w:szCs w:val="24"/>
                <w:lang w:eastAsia="en-GB"/>
              </w:rPr>
              <w:t xml:space="preserve"> </w:t>
            </w:r>
          </w:p>
        </w:tc>
      </w:tr>
    </w:tbl>
    <w:p w14:paraId="490C80C9" w14:textId="60C33A61" w:rsidR="003025D9" w:rsidRDefault="003025D9" w:rsidP="003F7EB7">
      <w:pPr>
        <w:spacing w:after="0"/>
        <w:jc w:val="left"/>
      </w:pPr>
    </w:p>
    <w:p w14:paraId="37E5991F" w14:textId="2B64F62C" w:rsidR="00A90A7A" w:rsidRDefault="00A90A7A" w:rsidP="00A90A7A">
      <w:pPr>
        <w:pStyle w:val="Caption"/>
        <w:keepNext/>
      </w:pPr>
      <w:r>
        <w:t>Codelists</w:t>
      </w:r>
    </w:p>
    <w:p w14:paraId="5B44B320" w14:textId="12D9E51D" w:rsidR="008763A7" w:rsidRPr="00FB08BF" w:rsidRDefault="008763A7" w:rsidP="00365F90">
      <w:pPr>
        <w:spacing w:after="0"/>
      </w:pPr>
      <w:r>
        <w:t xml:space="preserve">Some policy purposes are also covered by new </w:t>
      </w:r>
      <w:r w:rsidR="008A1A02">
        <w:t xml:space="preserve">codes. </w:t>
      </w:r>
    </w:p>
    <w:p w14:paraId="0A8FF27D" w14:textId="04C5EE29" w:rsidR="008A1A02" w:rsidRDefault="008A1A02" w:rsidP="00365F90">
      <w:pPr>
        <w:pStyle w:val="Caption"/>
        <w:keepNext/>
        <w:spacing w:after="0"/>
      </w:pPr>
      <w:r>
        <w:t>Policy fields III (new codes)</w:t>
      </w:r>
    </w:p>
    <w:tbl>
      <w:tblPr>
        <w:tblStyle w:val="TableGrid"/>
        <w:tblW w:w="5000" w:type="pct"/>
        <w:tblLook w:val="04A0" w:firstRow="1" w:lastRow="0" w:firstColumn="1" w:lastColumn="0" w:noHBand="0" w:noVBand="1"/>
      </w:tblPr>
      <w:tblGrid>
        <w:gridCol w:w="2093"/>
        <w:gridCol w:w="6381"/>
        <w:gridCol w:w="6540"/>
      </w:tblGrid>
      <w:tr w:rsidR="00A77A1C" w14:paraId="117BCC81" w14:textId="77777777" w:rsidTr="00202669">
        <w:trPr>
          <w:tblHeader/>
        </w:trPr>
        <w:tc>
          <w:tcPr>
            <w:tcW w:w="697" w:type="pct"/>
            <w:shd w:val="clear" w:color="auto" w:fill="8DB3E2" w:themeFill="text2" w:themeFillTint="66"/>
          </w:tcPr>
          <w:p w14:paraId="56DBBA87" w14:textId="77777777" w:rsidR="00A77A1C" w:rsidRPr="00A732D5" w:rsidRDefault="00A77A1C" w:rsidP="00202669">
            <w:pPr>
              <w:spacing w:after="0"/>
              <w:jc w:val="left"/>
              <w:rPr>
                <w:b/>
              </w:rPr>
            </w:pPr>
            <w:r w:rsidRPr="00A732D5">
              <w:rPr>
                <w:b/>
              </w:rPr>
              <w:t>Name</w:t>
            </w:r>
          </w:p>
        </w:tc>
        <w:tc>
          <w:tcPr>
            <w:tcW w:w="2125" w:type="pct"/>
            <w:shd w:val="clear" w:color="auto" w:fill="8DB3E2" w:themeFill="text2" w:themeFillTint="66"/>
          </w:tcPr>
          <w:p w14:paraId="468FBCB0" w14:textId="77777777" w:rsidR="00A77A1C" w:rsidRPr="00A732D5" w:rsidRDefault="00A77A1C" w:rsidP="00202669">
            <w:pPr>
              <w:spacing w:after="0"/>
              <w:jc w:val="left"/>
              <w:rPr>
                <w:b/>
              </w:rPr>
            </w:pPr>
            <w:r w:rsidRPr="00A732D5">
              <w:rPr>
                <w:b/>
              </w:rPr>
              <w:t xml:space="preserve">Description </w:t>
            </w:r>
          </w:p>
        </w:tc>
        <w:tc>
          <w:tcPr>
            <w:tcW w:w="2178" w:type="pct"/>
            <w:shd w:val="clear" w:color="auto" w:fill="8DB3E2" w:themeFill="text2" w:themeFillTint="66"/>
          </w:tcPr>
          <w:p w14:paraId="13467825" w14:textId="77777777" w:rsidR="00A77A1C" w:rsidRPr="00A732D5" w:rsidRDefault="00A77A1C" w:rsidP="00202669">
            <w:pPr>
              <w:spacing w:after="0"/>
              <w:jc w:val="left"/>
              <w:rPr>
                <w:b/>
              </w:rPr>
            </w:pPr>
            <w:r w:rsidRPr="00A732D5">
              <w:rPr>
                <w:b/>
              </w:rPr>
              <w:t>Considerations</w:t>
            </w:r>
          </w:p>
        </w:tc>
      </w:tr>
      <w:tr w:rsidR="00656E35" w14:paraId="07A182B8" w14:textId="77777777" w:rsidTr="00202669">
        <w:trPr>
          <w:tblHeader/>
        </w:trPr>
        <w:tc>
          <w:tcPr>
            <w:tcW w:w="697" w:type="pct"/>
            <w:shd w:val="clear" w:color="auto" w:fill="8DB3E2" w:themeFill="text2" w:themeFillTint="66"/>
          </w:tcPr>
          <w:p w14:paraId="0CC5CD96" w14:textId="77777777" w:rsidR="00656E35" w:rsidRDefault="00656E35" w:rsidP="00656E35">
            <w:pPr>
              <w:spacing w:after="0"/>
              <w:rPr>
                <w:i/>
                <w:szCs w:val="24"/>
              </w:rPr>
            </w:pPr>
            <w:r>
              <w:rPr>
                <w:i/>
                <w:szCs w:val="24"/>
              </w:rPr>
              <w:t>Micro, small, medium, large codes</w:t>
            </w:r>
          </w:p>
          <w:p w14:paraId="1B6CA46C" w14:textId="77777777" w:rsidR="00656E35" w:rsidRDefault="00656E35" w:rsidP="00656E35">
            <w:pPr>
              <w:spacing w:after="0"/>
              <w:rPr>
                <w:i/>
                <w:szCs w:val="24"/>
              </w:rPr>
            </w:pPr>
          </w:p>
          <w:p w14:paraId="31EC8E2A" w14:textId="77777777" w:rsidR="00656E35" w:rsidRDefault="00656E35" w:rsidP="00656E35">
            <w:pPr>
              <w:spacing w:after="0"/>
              <w:rPr>
                <w:i/>
                <w:szCs w:val="24"/>
              </w:rPr>
            </w:pPr>
            <w:r>
              <w:rPr>
                <w:i/>
                <w:szCs w:val="24"/>
              </w:rPr>
              <w:t>in the codelist for</w:t>
            </w:r>
          </w:p>
          <w:p w14:paraId="5B16AD4F" w14:textId="77777777" w:rsidR="00656E35" w:rsidRDefault="00656E35" w:rsidP="00656E35">
            <w:pPr>
              <w:spacing w:after="0"/>
              <w:rPr>
                <w:i/>
                <w:szCs w:val="24"/>
              </w:rPr>
            </w:pPr>
          </w:p>
          <w:p w14:paraId="352C6863" w14:textId="1003978E" w:rsidR="00656E35" w:rsidRPr="00A732D5" w:rsidRDefault="00656E35" w:rsidP="00656E35">
            <w:pPr>
              <w:spacing w:after="0"/>
              <w:rPr>
                <w:i/>
                <w:szCs w:val="24"/>
              </w:rPr>
            </w:pPr>
            <w:r>
              <w:rPr>
                <w:i/>
                <w:szCs w:val="24"/>
              </w:rPr>
              <w:t>Winner Size (BT</w:t>
            </w:r>
            <w:r>
              <w:rPr>
                <w:i/>
                <w:szCs w:val="24"/>
              </w:rPr>
              <w:noBreakHyphen/>
              <w:t>165</w:t>
            </w:r>
            <w:r w:rsidRPr="00A732D5">
              <w:rPr>
                <w:i/>
                <w:szCs w:val="24"/>
              </w:rPr>
              <w:t>)</w:t>
            </w:r>
          </w:p>
        </w:tc>
        <w:tc>
          <w:tcPr>
            <w:tcW w:w="2125" w:type="pct"/>
            <w:shd w:val="clear" w:color="auto" w:fill="8DB3E2" w:themeFill="text2" w:themeFillTint="66"/>
          </w:tcPr>
          <w:p w14:paraId="74D9CC9E" w14:textId="77777777" w:rsidR="00656E35" w:rsidRPr="0032349A" w:rsidRDefault="00656E35" w:rsidP="00656E35">
            <w:pPr>
              <w:spacing w:after="0"/>
              <w:rPr>
                <w:i/>
                <w:szCs w:val="24"/>
              </w:rPr>
            </w:pPr>
            <w:r w:rsidRPr="0032349A">
              <w:rPr>
                <w:i/>
                <w:szCs w:val="24"/>
              </w:rPr>
              <w:t>“The size of the winner (e.g. micro enterprise, small enterprise, medium enterprise).”</w:t>
            </w:r>
          </w:p>
          <w:p w14:paraId="628BC5C7" w14:textId="77777777" w:rsidR="00656E35" w:rsidRPr="0032349A" w:rsidRDefault="00656E35" w:rsidP="00656E35">
            <w:pPr>
              <w:pStyle w:val="ListParagraph"/>
              <w:spacing w:after="0"/>
              <w:rPr>
                <w:i/>
                <w:szCs w:val="24"/>
              </w:rPr>
            </w:pPr>
          </w:p>
          <w:p w14:paraId="272F5137" w14:textId="77777777" w:rsidR="00656E35" w:rsidRPr="0032349A" w:rsidRDefault="00656E35" w:rsidP="00656E35">
            <w:pPr>
              <w:pStyle w:val="ListParagraph"/>
              <w:numPr>
                <w:ilvl w:val="0"/>
                <w:numId w:val="59"/>
              </w:numPr>
              <w:spacing w:after="0"/>
              <w:rPr>
                <w:i/>
                <w:szCs w:val="24"/>
              </w:rPr>
            </w:pPr>
            <w:r w:rsidRPr="0032349A">
              <w:rPr>
                <w:i/>
                <w:szCs w:val="24"/>
              </w:rPr>
              <w:t>Micro</w:t>
            </w:r>
          </w:p>
          <w:p w14:paraId="5D4B705D" w14:textId="77777777" w:rsidR="00656E35" w:rsidRPr="0032349A" w:rsidRDefault="00656E35" w:rsidP="00656E35">
            <w:pPr>
              <w:pStyle w:val="ListParagraph"/>
              <w:numPr>
                <w:ilvl w:val="0"/>
                <w:numId w:val="59"/>
              </w:numPr>
              <w:spacing w:after="0"/>
              <w:rPr>
                <w:i/>
                <w:szCs w:val="24"/>
              </w:rPr>
            </w:pPr>
            <w:r w:rsidRPr="0032349A">
              <w:rPr>
                <w:i/>
                <w:szCs w:val="24"/>
              </w:rPr>
              <w:t>Small</w:t>
            </w:r>
          </w:p>
          <w:p w14:paraId="32228145" w14:textId="77777777" w:rsidR="00656E35" w:rsidRPr="0032349A" w:rsidRDefault="00656E35" w:rsidP="00656E35">
            <w:pPr>
              <w:pStyle w:val="ListParagraph"/>
              <w:numPr>
                <w:ilvl w:val="0"/>
                <w:numId w:val="59"/>
              </w:numPr>
              <w:spacing w:after="0"/>
              <w:rPr>
                <w:i/>
                <w:szCs w:val="24"/>
              </w:rPr>
            </w:pPr>
            <w:r w:rsidRPr="0032349A">
              <w:rPr>
                <w:i/>
                <w:szCs w:val="24"/>
              </w:rPr>
              <w:t>Medium</w:t>
            </w:r>
          </w:p>
          <w:p w14:paraId="70C5F39A" w14:textId="77777777" w:rsidR="00656E35" w:rsidRPr="0032349A" w:rsidRDefault="00656E35" w:rsidP="00656E35">
            <w:pPr>
              <w:pStyle w:val="ListParagraph"/>
              <w:numPr>
                <w:ilvl w:val="0"/>
                <w:numId w:val="59"/>
              </w:numPr>
              <w:spacing w:after="0"/>
              <w:rPr>
                <w:i/>
                <w:szCs w:val="24"/>
              </w:rPr>
            </w:pPr>
            <w:r w:rsidRPr="0032349A">
              <w:rPr>
                <w:i/>
                <w:szCs w:val="24"/>
              </w:rPr>
              <w:t xml:space="preserve">Large </w:t>
            </w:r>
          </w:p>
          <w:p w14:paraId="751F5C58" w14:textId="77777777" w:rsidR="00656E35" w:rsidRDefault="00656E35" w:rsidP="00656E35">
            <w:pPr>
              <w:spacing w:after="0"/>
              <w:rPr>
                <w:szCs w:val="24"/>
              </w:rPr>
            </w:pPr>
          </w:p>
          <w:p w14:paraId="03AD80A6" w14:textId="77777777" w:rsidR="00656E35" w:rsidRPr="00321DD1" w:rsidRDefault="00656E35" w:rsidP="00656E35">
            <w:pPr>
              <w:spacing w:after="0"/>
              <w:jc w:val="left"/>
              <w:rPr>
                <w:i/>
                <w:szCs w:val="24"/>
              </w:rPr>
            </w:pPr>
          </w:p>
        </w:tc>
        <w:tc>
          <w:tcPr>
            <w:tcW w:w="2178" w:type="pct"/>
          </w:tcPr>
          <w:p w14:paraId="4F26907B" w14:textId="77777777" w:rsidR="00656E35" w:rsidRPr="007773DF" w:rsidRDefault="00656E35" w:rsidP="00656E35">
            <w:pPr>
              <w:rPr>
                <w:szCs w:val="24"/>
              </w:rPr>
            </w:pPr>
            <w:r>
              <w:rPr>
                <w:szCs w:val="24"/>
              </w:rPr>
              <w:t xml:space="preserve">Currently, information is collected at the general SME level (covering, for example, companies with 5 employees as well as companies with 205 employees). Information that is more granular would allow catering to the different needs of the different types of SMEs. </w:t>
            </w:r>
          </w:p>
          <w:p w14:paraId="322D1C40" w14:textId="1581A9E9" w:rsidR="00656E35" w:rsidRDefault="00656E35" w:rsidP="00365F90">
            <w:pPr>
              <w:spacing w:after="0"/>
              <w:rPr>
                <w:szCs w:val="24"/>
              </w:rPr>
            </w:pPr>
            <w:r w:rsidRPr="00FA5039">
              <w:rPr>
                <w:szCs w:val="24"/>
              </w:rPr>
              <w:t>The costs of submitting this information should be small.</w:t>
            </w:r>
            <w:r>
              <w:rPr>
                <w:szCs w:val="24"/>
              </w:rPr>
              <w:t xml:space="preserve"> T</w:t>
            </w:r>
            <w:r w:rsidRPr="00FA5039">
              <w:rPr>
                <w:szCs w:val="24"/>
              </w:rPr>
              <w:t xml:space="preserve">he information should be </w:t>
            </w:r>
            <w:r>
              <w:rPr>
                <w:szCs w:val="24"/>
              </w:rPr>
              <w:t xml:space="preserve">automatically </w:t>
            </w:r>
            <w:r w:rsidRPr="00FA5039">
              <w:rPr>
                <w:szCs w:val="24"/>
              </w:rPr>
              <w:t xml:space="preserve">prefilled from data in national or regional business registries. Alternatively, it can be submitted by the company itself (e.g. as part of the ESPD) to the buyer, who then (automatically or manually) </w:t>
            </w:r>
            <w:r>
              <w:rPr>
                <w:szCs w:val="24"/>
              </w:rPr>
              <w:t xml:space="preserve">puts </w:t>
            </w:r>
            <w:r w:rsidRPr="00FA5039">
              <w:rPr>
                <w:szCs w:val="24"/>
              </w:rPr>
              <w:t>it in the notice.</w:t>
            </w:r>
          </w:p>
        </w:tc>
      </w:tr>
      <w:tr w:rsidR="00656E35" w14:paraId="6E04D77D" w14:textId="77777777" w:rsidTr="00202669">
        <w:trPr>
          <w:tblHeader/>
        </w:trPr>
        <w:tc>
          <w:tcPr>
            <w:tcW w:w="697" w:type="pct"/>
            <w:shd w:val="clear" w:color="auto" w:fill="8DB3E2" w:themeFill="text2" w:themeFillTint="66"/>
          </w:tcPr>
          <w:p w14:paraId="0251CA42" w14:textId="5899195C" w:rsidR="00656E35" w:rsidRDefault="00656E35" w:rsidP="00656E35">
            <w:pPr>
              <w:spacing w:after="0"/>
              <w:rPr>
                <w:i/>
                <w:szCs w:val="24"/>
              </w:rPr>
            </w:pPr>
            <w:r w:rsidRPr="00A732D5">
              <w:rPr>
                <w:i/>
                <w:szCs w:val="24"/>
              </w:rPr>
              <w:t>Procurement Service</w:t>
            </w:r>
            <w:r>
              <w:rPr>
                <w:i/>
                <w:szCs w:val="24"/>
              </w:rPr>
              <w:t> </w:t>
            </w:r>
            <w:r w:rsidRPr="00A732D5">
              <w:rPr>
                <w:i/>
                <w:szCs w:val="24"/>
              </w:rPr>
              <w:t xml:space="preserve">Provider </w:t>
            </w:r>
            <w:r>
              <w:rPr>
                <w:i/>
                <w:szCs w:val="24"/>
              </w:rPr>
              <w:br/>
              <w:t>code</w:t>
            </w:r>
          </w:p>
          <w:p w14:paraId="6084AB9E" w14:textId="48A7652F" w:rsidR="00656E35" w:rsidRDefault="00656E35" w:rsidP="00656E35">
            <w:pPr>
              <w:spacing w:after="0"/>
              <w:rPr>
                <w:i/>
                <w:szCs w:val="24"/>
              </w:rPr>
            </w:pPr>
          </w:p>
          <w:p w14:paraId="58E18893" w14:textId="3ABAF7BD" w:rsidR="00656E35" w:rsidRDefault="00656E35" w:rsidP="00656E35">
            <w:pPr>
              <w:spacing w:after="0"/>
              <w:rPr>
                <w:i/>
                <w:szCs w:val="24"/>
              </w:rPr>
            </w:pPr>
            <w:r>
              <w:rPr>
                <w:i/>
                <w:szCs w:val="24"/>
              </w:rPr>
              <w:t>in the codelist for</w:t>
            </w:r>
          </w:p>
          <w:p w14:paraId="759330F4" w14:textId="779154EF" w:rsidR="00656E35" w:rsidRDefault="00656E35" w:rsidP="00656E35">
            <w:pPr>
              <w:spacing w:after="0"/>
              <w:rPr>
                <w:i/>
                <w:szCs w:val="24"/>
              </w:rPr>
            </w:pPr>
          </w:p>
          <w:p w14:paraId="7B726142" w14:textId="1A50ACEB" w:rsidR="00656E35" w:rsidRPr="00E9149E" w:rsidRDefault="00656E35" w:rsidP="00656E35">
            <w:pPr>
              <w:spacing w:after="0"/>
              <w:rPr>
                <w:i/>
                <w:szCs w:val="24"/>
              </w:rPr>
            </w:pPr>
            <w:r w:rsidRPr="00A732D5">
              <w:rPr>
                <w:i/>
                <w:szCs w:val="24"/>
              </w:rPr>
              <w:t xml:space="preserve">Organisation Role </w:t>
            </w:r>
            <w:r>
              <w:rPr>
                <w:i/>
                <w:szCs w:val="24"/>
              </w:rPr>
              <w:t>(</w:t>
            </w:r>
            <w:r w:rsidRPr="00A732D5">
              <w:rPr>
                <w:i/>
                <w:szCs w:val="24"/>
              </w:rPr>
              <w:t>BT-08)</w:t>
            </w:r>
          </w:p>
        </w:tc>
        <w:tc>
          <w:tcPr>
            <w:tcW w:w="2125" w:type="pct"/>
            <w:shd w:val="clear" w:color="auto" w:fill="8DB3E2" w:themeFill="text2" w:themeFillTint="66"/>
          </w:tcPr>
          <w:p w14:paraId="3D7668BA" w14:textId="2BCAFDC8" w:rsidR="00656E35" w:rsidRDefault="00656E35" w:rsidP="00656E35">
            <w:pPr>
              <w:spacing w:after="0"/>
              <w:jc w:val="left"/>
              <w:rPr>
                <w:i/>
                <w:szCs w:val="24"/>
              </w:rPr>
            </w:pPr>
            <w:r w:rsidRPr="00321DD1">
              <w:rPr>
                <w:i/>
                <w:szCs w:val="24"/>
              </w:rPr>
              <w:t>Art. 2(17) of Dir. 2014/24/EU</w:t>
            </w:r>
            <w:r>
              <w:rPr>
                <w:i/>
                <w:szCs w:val="24"/>
              </w:rPr>
              <w:t xml:space="preserve">: </w:t>
            </w:r>
          </w:p>
          <w:p w14:paraId="2576AE4F" w14:textId="6DD6419B" w:rsidR="00656E35" w:rsidRDefault="00656E35" w:rsidP="00656E35">
            <w:pPr>
              <w:spacing w:after="0"/>
              <w:jc w:val="left"/>
              <w:rPr>
                <w:i/>
                <w:szCs w:val="24"/>
              </w:rPr>
            </w:pPr>
          </w:p>
          <w:p w14:paraId="4F9FCC92" w14:textId="08FDD19B" w:rsidR="00656E35" w:rsidRDefault="00656E35" w:rsidP="00656E35">
            <w:pPr>
              <w:spacing w:after="0"/>
              <w:jc w:val="left"/>
              <w:rPr>
                <w:i/>
                <w:szCs w:val="24"/>
              </w:rPr>
            </w:pPr>
            <w:r w:rsidRPr="00321DD1">
              <w:rPr>
                <w:i/>
                <w:szCs w:val="24"/>
              </w:rPr>
              <w:t>‘procurement service provider’ means a public or private body which offers ancillary purchasing activities on the market;</w:t>
            </w:r>
          </w:p>
          <w:p w14:paraId="0C5EEBB9" w14:textId="0BFC218E" w:rsidR="00656E35" w:rsidRDefault="00656E35" w:rsidP="00656E35">
            <w:pPr>
              <w:spacing w:after="0"/>
              <w:jc w:val="left"/>
              <w:rPr>
                <w:i/>
                <w:szCs w:val="24"/>
              </w:rPr>
            </w:pPr>
          </w:p>
          <w:p w14:paraId="25DCFB3B" w14:textId="08692677" w:rsidR="00656E35" w:rsidRDefault="00656E35" w:rsidP="00656E35">
            <w:pPr>
              <w:spacing w:after="0"/>
              <w:jc w:val="left"/>
              <w:rPr>
                <w:i/>
                <w:szCs w:val="24"/>
              </w:rPr>
            </w:pPr>
            <w:r w:rsidRPr="00321DD1">
              <w:rPr>
                <w:i/>
                <w:szCs w:val="24"/>
              </w:rPr>
              <w:t>Art. 2(1</w:t>
            </w:r>
            <w:r>
              <w:rPr>
                <w:i/>
                <w:szCs w:val="24"/>
              </w:rPr>
              <w:t>5</w:t>
            </w:r>
            <w:r w:rsidRPr="00321DD1">
              <w:rPr>
                <w:i/>
                <w:szCs w:val="24"/>
              </w:rPr>
              <w:t>) of Dir. 2014/24/EU</w:t>
            </w:r>
            <w:r>
              <w:rPr>
                <w:i/>
                <w:szCs w:val="24"/>
              </w:rPr>
              <w:t xml:space="preserve">: </w:t>
            </w:r>
          </w:p>
          <w:p w14:paraId="4C0277E3" w14:textId="77777777" w:rsidR="00656E35" w:rsidRPr="00321DD1" w:rsidRDefault="00656E35" w:rsidP="00656E35">
            <w:pPr>
              <w:spacing w:after="0"/>
              <w:jc w:val="left"/>
              <w:rPr>
                <w:i/>
                <w:szCs w:val="24"/>
                <w:lang w:val="en-US"/>
              </w:rPr>
            </w:pPr>
          </w:p>
          <w:p w14:paraId="0DF037F1" w14:textId="77777777" w:rsidR="00656E35" w:rsidRPr="00321DD1" w:rsidRDefault="00656E35" w:rsidP="00656E35">
            <w:pPr>
              <w:spacing w:after="0"/>
              <w:jc w:val="left"/>
              <w:rPr>
                <w:i/>
                <w:szCs w:val="24"/>
                <w:lang w:val="en-US"/>
              </w:rPr>
            </w:pPr>
            <w:r w:rsidRPr="00321DD1">
              <w:rPr>
                <w:i/>
                <w:szCs w:val="24"/>
                <w:lang w:val="en-US"/>
              </w:rPr>
              <w:t>‘ancillary purchasing activities’ means activities consisting in the provision of support to purchasing activities, in particular in the following forms:</w:t>
            </w:r>
          </w:p>
          <w:p w14:paraId="539EC488" w14:textId="77777777" w:rsidR="00656E35" w:rsidRPr="00321DD1" w:rsidRDefault="00656E35" w:rsidP="00656E35">
            <w:pPr>
              <w:spacing w:after="0"/>
              <w:jc w:val="left"/>
              <w:rPr>
                <w:i/>
                <w:szCs w:val="24"/>
                <w:lang w:val="en-US"/>
              </w:rPr>
            </w:pPr>
          </w:p>
          <w:p w14:paraId="3BA25B76" w14:textId="5DBD4E07" w:rsidR="00656E35" w:rsidRPr="00321DD1" w:rsidRDefault="00656E35" w:rsidP="00656E35">
            <w:pPr>
              <w:spacing w:after="0"/>
              <w:jc w:val="left"/>
              <w:rPr>
                <w:i/>
                <w:szCs w:val="24"/>
                <w:lang w:val="en-US"/>
              </w:rPr>
            </w:pPr>
            <w:r w:rsidRPr="00321DD1">
              <w:rPr>
                <w:i/>
                <w:szCs w:val="24"/>
                <w:lang w:val="en-US"/>
              </w:rPr>
              <w:t>(a)</w:t>
            </w:r>
            <w:r>
              <w:rPr>
                <w:i/>
                <w:szCs w:val="24"/>
                <w:lang w:val="en-US"/>
              </w:rPr>
              <w:t> </w:t>
            </w:r>
            <w:r w:rsidRPr="00321DD1">
              <w:rPr>
                <w:i/>
                <w:szCs w:val="24"/>
                <w:lang w:val="en-US"/>
              </w:rPr>
              <w:t>technical infrastructure enabling contracting authorities to award public contracts or to conclude framework agreements for works, supplies or services;</w:t>
            </w:r>
          </w:p>
          <w:p w14:paraId="5E9B9084" w14:textId="77777777" w:rsidR="00656E35" w:rsidRPr="00321DD1" w:rsidRDefault="00656E35" w:rsidP="00656E35">
            <w:pPr>
              <w:spacing w:after="0"/>
              <w:jc w:val="left"/>
              <w:rPr>
                <w:i/>
                <w:szCs w:val="24"/>
                <w:lang w:val="en-US"/>
              </w:rPr>
            </w:pPr>
          </w:p>
          <w:p w14:paraId="45BE831A" w14:textId="5CBB6A06" w:rsidR="00656E35" w:rsidRPr="00321DD1" w:rsidRDefault="00656E35" w:rsidP="00656E35">
            <w:pPr>
              <w:spacing w:after="0"/>
              <w:jc w:val="left"/>
              <w:rPr>
                <w:i/>
                <w:szCs w:val="24"/>
                <w:lang w:val="en-US"/>
              </w:rPr>
            </w:pPr>
            <w:r w:rsidRPr="00321DD1">
              <w:rPr>
                <w:i/>
                <w:szCs w:val="24"/>
                <w:lang w:val="en-US"/>
              </w:rPr>
              <w:t>(b)</w:t>
            </w:r>
            <w:r>
              <w:rPr>
                <w:i/>
                <w:szCs w:val="24"/>
                <w:lang w:val="en-US"/>
              </w:rPr>
              <w:t> </w:t>
            </w:r>
            <w:r w:rsidRPr="00321DD1">
              <w:rPr>
                <w:i/>
                <w:szCs w:val="24"/>
                <w:lang w:val="en-US"/>
              </w:rPr>
              <w:t>advice on the conduct or design of public procurement procedures;</w:t>
            </w:r>
          </w:p>
          <w:p w14:paraId="38B8674B" w14:textId="77777777" w:rsidR="00656E35" w:rsidRPr="00321DD1" w:rsidRDefault="00656E35" w:rsidP="00656E35">
            <w:pPr>
              <w:spacing w:after="0"/>
              <w:jc w:val="left"/>
              <w:rPr>
                <w:i/>
                <w:szCs w:val="24"/>
                <w:lang w:val="en-US"/>
              </w:rPr>
            </w:pPr>
          </w:p>
          <w:p w14:paraId="629FF1FE" w14:textId="1BB34914" w:rsidR="00656E35" w:rsidRPr="00321DD1" w:rsidRDefault="00656E35" w:rsidP="00656E35">
            <w:pPr>
              <w:spacing w:after="0"/>
              <w:jc w:val="left"/>
              <w:rPr>
                <w:i/>
                <w:szCs w:val="24"/>
                <w:lang w:val="en-US"/>
              </w:rPr>
            </w:pPr>
            <w:r w:rsidRPr="00321DD1">
              <w:rPr>
                <w:i/>
                <w:szCs w:val="24"/>
                <w:lang w:val="en-US"/>
              </w:rPr>
              <w:t>(c)</w:t>
            </w:r>
            <w:r>
              <w:rPr>
                <w:i/>
                <w:szCs w:val="24"/>
                <w:lang w:val="en-US"/>
              </w:rPr>
              <w:t> </w:t>
            </w:r>
            <w:r w:rsidRPr="00321DD1">
              <w:rPr>
                <w:i/>
                <w:szCs w:val="24"/>
                <w:lang w:val="en-US"/>
              </w:rPr>
              <w:t>preparation and management of procurement procedures on behalf and for the account of the contracting authority concerned;</w:t>
            </w:r>
          </w:p>
          <w:p w14:paraId="65D761E0" w14:textId="77777777" w:rsidR="00656E35" w:rsidRDefault="00656E35" w:rsidP="00656E35">
            <w:pPr>
              <w:spacing w:after="0"/>
              <w:jc w:val="left"/>
              <w:rPr>
                <w:i/>
                <w:szCs w:val="24"/>
              </w:rPr>
            </w:pPr>
          </w:p>
          <w:p w14:paraId="6E0A2C91" w14:textId="42BCF387" w:rsidR="00656E35" w:rsidRPr="00321DD1" w:rsidRDefault="00656E35" w:rsidP="00656E35">
            <w:pPr>
              <w:spacing w:after="0"/>
              <w:jc w:val="left"/>
              <w:rPr>
                <w:i/>
              </w:rPr>
            </w:pPr>
          </w:p>
        </w:tc>
        <w:tc>
          <w:tcPr>
            <w:tcW w:w="2178" w:type="pct"/>
          </w:tcPr>
          <w:p w14:paraId="175C9FCE" w14:textId="380E5183" w:rsidR="00656E35" w:rsidRDefault="00656E35" w:rsidP="00656E35">
            <w:pPr>
              <w:rPr>
                <w:szCs w:val="24"/>
              </w:rPr>
            </w:pPr>
            <w:r>
              <w:rPr>
                <w:szCs w:val="24"/>
              </w:rPr>
              <w:t xml:space="preserve">Procurement service providers (PSP) help buyers procure. Besides central purchasing bodies, procurement service providers are often consulting companies specialized in procurement, law, EU funds or a particular sector (construction, IT, etc.) </w:t>
            </w:r>
          </w:p>
          <w:p w14:paraId="576B4F51" w14:textId="77777777" w:rsidR="00656E35" w:rsidRPr="00B4261F" w:rsidRDefault="00656E35" w:rsidP="00656E35">
            <w:pPr>
              <w:pStyle w:val="NormalWeb"/>
              <w:shd w:val="clear" w:color="auto" w:fill="FFFFFF"/>
              <w:spacing w:before="0" w:beforeAutospacing="0" w:after="240" w:afterAutospacing="0"/>
              <w:rPr>
                <w:lang w:eastAsia="en-US"/>
              </w:rPr>
            </w:pPr>
            <w:r w:rsidRPr="00B4261F">
              <w:rPr>
                <w:lang w:eastAsia="en-US"/>
              </w:rPr>
              <w:t xml:space="preserve">This </w:t>
            </w:r>
            <w:r>
              <w:rPr>
                <w:lang w:eastAsia="en-US"/>
              </w:rPr>
              <w:t xml:space="preserve">field would </w:t>
            </w:r>
            <w:r w:rsidRPr="00B4261F">
              <w:rPr>
                <w:lang w:eastAsia="en-US"/>
              </w:rPr>
              <w:t xml:space="preserve">fill an important information gap </w:t>
            </w:r>
            <w:r>
              <w:rPr>
                <w:lang w:eastAsia="en-US"/>
              </w:rPr>
              <w:t xml:space="preserve">on the extent to what procurement is done and influenced by other organisations than the buyer. </w:t>
            </w:r>
            <w:r w:rsidRPr="00B4261F">
              <w:rPr>
                <w:lang w:eastAsia="en-US"/>
              </w:rPr>
              <w:t xml:space="preserve">For example, in some countries, practitioners </w:t>
            </w:r>
            <w:r>
              <w:rPr>
                <w:lang w:eastAsia="en-US"/>
              </w:rPr>
              <w:t>estimate</w:t>
            </w:r>
            <w:r w:rsidRPr="00B4261F">
              <w:rPr>
                <w:lang w:eastAsia="en-US"/>
              </w:rPr>
              <w:t xml:space="preserve"> that up to 50% of procurement procedures are actually done/influenced by private consultancies and law firms. Unfortunately, there is no data to confirm or verify such claims - even though </w:t>
            </w:r>
            <w:r>
              <w:rPr>
                <w:lang w:eastAsia="en-US"/>
              </w:rPr>
              <w:t xml:space="preserve">this could have significant </w:t>
            </w:r>
            <w:r w:rsidRPr="00B4261F">
              <w:rPr>
                <w:lang w:eastAsia="en-US"/>
              </w:rPr>
              <w:t>implications for policy makers. For example:</w:t>
            </w:r>
          </w:p>
          <w:p w14:paraId="4ACEBA14" w14:textId="4E632971" w:rsidR="00656E35" w:rsidRPr="006F678C" w:rsidRDefault="00656E35" w:rsidP="00656E35">
            <w:pPr>
              <w:numPr>
                <w:ilvl w:val="0"/>
                <w:numId w:val="55"/>
              </w:numPr>
              <w:shd w:val="clear" w:color="auto" w:fill="FFFFFF"/>
              <w:spacing w:before="100" w:beforeAutospacing="1" w:after="100" w:afterAutospacing="1"/>
              <w:jc w:val="left"/>
              <w:rPr>
                <w:szCs w:val="24"/>
              </w:rPr>
            </w:pPr>
            <w:r>
              <w:rPr>
                <w:szCs w:val="24"/>
              </w:rPr>
              <w:t>From a professionalisation point of view, i</w:t>
            </w:r>
            <w:r w:rsidRPr="006F678C">
              <w:rPr>
                <w:szCs w:val="24"/>
              </w:rPr>
              <w:t>f external organisations often play a role, then training individual buyers may be less important. On the other hand, perhaps there should be certification</w:t>
            </w:r>
            <w:r>
              <w:rPr>
                <w:szCs w:val="24"/>
              </w:rPr>
              <w:t>s, reviews, or ratings for PSPs</w:t>
            </w:r>
            <w:r w:rsidRPr="006F678C">
              <w:rPr>
                <w:szCs w:val="24"/>
              </w:rPr>
              <w:t xml:space="preserve">. </w:t>
            </w:r>
          </w:p>
          <w:p w14:paraId="77C5816E" w14:textId="7CCFA0FA" w:rsidR="00656E35" w:rsidRPr="006F678C" w:rsidRDefault="00656E35" w:rsidP="00656E35">
            <w:pPr>
              <w:numPr>
                <w:ilvl w:val="0"/>
                <w:numId w:val="55"/>
              </w:numPr>
              <w:shd w:val="clear" w:color="auto" w:fill="FFFFFF"/>
              <w:spacing w:before="60" w:after="100" w:afterAutospacing="1"/>
              <w:jc w:val="left"/>
              <w:rPr>
                <w:szCs w:val="24"/>
              </w:rPr>
            </w:pPr>
            <w:r>
              <w:rPr>
                <w:szCs w:val="24"/>
              </w:rPr>
              <w:t>I</w:t>
            </w:r>
            <w:r w:rsidRPr="006F678C">
              <w:rPr>
                <w:szCs w:val="24"/>
              </w:rPr>
              <w:t xml:space="preserve">f </w:t>
            </w:r>
            <w:r>
              <w:rPr>
                <w:szCs w:val="24"/>
              </w:rPr>
              <w:t xml:space="preserve">PSPs </w:t>
            </w:r>
            <w:r w:rsidRPr="006F678C">
              <w:rPr>
                <w:szCs w:val="24"/>
              </w:rPr>
              <w:t>seldom play a role, perhaps there is space for improving professionalisation through better support from (private or public) procurement expert cent</w:t>
            </w:r>
            <w:r>
              <w:rPr>
                <w:szCs w:val="24"/>
              </w:rPr>
              <w:t>r</w:t>
            </w:r>
            <w:r w:rsidRPr="006F678C">
              <w:rPr>
                <w:szCs w:val="24"/>
              </w:rPr>
              <w:t>es.</w:t>
            </w:r>
          </w:p>
          <w:p w14:paraId="6F0355F0" w14:textId="24E5116F" w:rsidR="00656E35" w:rsidRDefault="00656E35" w:rsidP="00656E35">
            <w:pPr>
              <w:spacing w:after="0"/>
              <w:rPr>
                <w:szCs w:val="24"/>
              </w:rPr>
            </w:pPr>
            <w:r w:rsidRPr="006F678C">
              <w:rPr>
                <w:szCs w:val="24"/>
              </w:rPr>
              <w:t xml:space="preserve">Where external organisations often play a role, it might </w:t>
            </w:r>
            <w:r>
              <w:rPr>
                <w:szCs w:val="24"/>
              </w:rPr>
              <w:t xml:space="preserve">also </w:t>
            </w:r>
            <w:r w:rsidRPr="006F678C">
              <w:rPr>
                <w:szCs w:val="24"/>
              </w:rPr>
              <w:t xml:space="preserve">be worth paying more attention </w:t>
            </w:r>
            <w:r>
              <w:rPr>
                <w:szCs w:val="24"/>
              </w:rPr>
              <w:t xml:space="preserve">to the prevention of </w:t>
            </w:r>
            <w:r w:rsidRPr="006F678C">
              <w:rPr>
                <w:szCs w:val="24"/>
              </w:rPr>
              <w:t>conflict of interest (</w:t>
            </w:r>
            <w:r>
              <w:rPr>
                <w:szCs w:val="24"/>
              </w:rPr>
              <w:t xml:space="preserve">as </w:t>
            </w:r>
            <w:r w:rsidRPr="006F678C">
              <w:rPr>
                <w:szCs w:val="24"/>
              </w:rPr>
              <w:t>mentioned in 2014/24/EU Art. 24, paragraph 2).</w:t>
            </w:r>
          </w:p>
        </w:tc>
      </w:tr>
    </w:tbl>
    <w:p w14:paraId="5B7F599A" w14:textId="04D8BD76" w:rsidR="00E07814" w:rsidRDefault="00E07814" w:rsidP="003F7EB7">
      <w:pPr>
        <w:spacing w:after="0"/>
        <w:jc w:val="left"/>
      </w:pPr>
    </w:p>
    <w:sectPr w:rsidR="00E07814" w:rsidSect="003F7EB7">
      <w:pgSz w:w="16838" w:h="11906" w:orient="landscape"/>
      <w:pgMar w:top="1701" w:right="1020" w:bottom="1587" w:left="1020"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24B30" w14:textId="77777777" w:rsidR="00B21BBC" w:rsidRDefault="00B21BBC" w:rsidP="00312820">
      <w:pPr>
        <w:spacing w:after="0"/>
      </w:pPr>
      <w:r>
        <w:separator/>
      </w:r>
    </w:p>
  </w:endnote>
  <w:endnote w:type="continuationSeparator" w:id="0">
    <w:p w14:paraId="37024B31" w14:textId="77777777" w:rsidR="00B21BBC" w:rsidRDefault="00B21BBC" w:rsidP="00312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BC500" w14:textId="77777777" w:rsidR="00B21BBC" w:rsidRDefault="00B21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24B32" w14:textId="632DFBD7" w:rsidR="00B21BBC" w:rsidRDefault="00B21BBC">
    <w:pPr>
      <w:pStyle w:val="Footer"/>
      <w:jc w:val="center"/>
    </w:pPr>
    <w:r>
      <w:fldChar w:fldCharType="begin"/>
    </w:r>
    <w:r>
      <w:instrText>PAGE</w:instrText>
    </w:r>
    <w:r>
      <w:fldChar w:fldCharType="separate"/>
    </w:r>
    <w:r w:rsidR="00632881">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24B34" w14:textId="77777777" w:rsidR="00B21BBC" w:rsidRDefault="00B21BBC">
    <w:pPr>
      <w:pStyle w:val="Footer"/>
      <w:rPr>
        <w:sz w:val="24"/>
        <w:szCs w:val="24"/>
      </w:rPr>
    </w:pPr>
  </w:p>
  <w:p w14:paraId="37024B35" w14:textId="77777777" w:rsidR="00B21BBC" w:rsidRDefault="00B21BBC">
    <w:pPr>
      <w:pStyle w:val="Footer"/>
    </w:pPr>
    <w:r w:rsidRPr="00312820">
      <w:rPr>
        <w:lang w:val="fr-FR"/>
      </w:rPr>
      <w:t xml:space="preserve">Commission européenne/Europese Commissie, 1049 Bruxelles/Brussel, BELGIQUE/BELGIË - Tel. </w:t>
    </w:r>
    <w:r>
      <w:t>+32 22991111</w:t>
    </w:r>
    <w:r>
      <w:rPr>
        <w:noProof/>
      </w:rPr>
      <w:br/>
      <w:t>Office: N105 06/63 - Tel. direct line +32 229-57718</w:t>
    </w:r>
  </w:p>
  <w:p w14:paraId="37024B36" w14:textId="77777777" w:rsidR="00B21BBC" w:rsidRDefault="00B21BBC">
    <w:pPr>
      <w:pStyle w:val="Footer"/>
    </w:pPr>
  </w:p>
  <w:p w14:paraId="37024B37" w14:textId="77777777" w:rsidR="00B21BBC" w:rsidRDefault="00B21BBC">
    <w:pPr>
      <w:pStyle w:val="Footer"/>
      <w:rPr>
        <w:sz w:val="12"/>
        <w:szCs w:val="12"/>
      </w:rPr>
    </w:pPr>
    <w:r>
      <w:t>Nikita.STAMPA@ec.europa.eu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24B2E" w14:textId="77777777" w:rsidR="00B21BBC" w:rsidRDefault="00B21BBC" w:rsidP="00312820">
      <w:pPr>
        <w:spacing w:after="0"/>
      </w:pPr>
      <w:r>
        <w:separator/>
      </w:r>
    </w:p>
  </w:footnote>
  <w:footnote w:type="continuationSeparator" w:id="0">
    <w:p w14:paraId="37024B2F" w14:textId="77777777" w:rsidR="00B21BBC" w:rsidRDefault="00B21BBC" w:rsidP="00312820">
      <w:pPr>
        <w:spacing w:after="0"/>
      </w:pPr>
      <w:r>
        <w:continuationSeparator/>
      </w:r>
    </w:p>
  </w:footnote>
  <w:footnote w:id="1">
    <w:p w14:paraId="37024B38" w14:textId="77777777" w:rsidR="00B21BBC" w:rsidRDefault="00B21BBC" w:rsidP="00312820">
      <w:pPr>
        <w:pStyle w:val="FootnoteText"/>
        <w:spacing w:after="0"/>
        <w:rPr>
          <w:rFonts w:asciiTheme="minorHAnsi" w:hAnsiTheme="minorHAnsi" w:cstheme="minorBidi"/>
          <w:lang w:val="en-US"/>
        </w:rPr>
      </w:pPr>
      <w:r>
        <w:rPr>
          <w:rStyle w:val="FootnoteReference"/>
        </w:rPr>
        <w:footnoteRef/>
      </w:r>
      <w:r>
        <w:t xml:space="preserve"> </w:t>
      </w:r>
      <w:hyperlink r:id="rId1" w:history="1">
        <w:r>
          <w:rPr>
            <w:rStyle w:val="Hyperlink"/>
          </w:rPr>
          <w:t>http://eur-lex.europa.eu/legal-content/EN/TXT/?uri=COM%3A2015%3A550%3AFIN</w:t>
        </w:r>
      </w:hyperlink>
      <w:r>
        <w:t xml:space="preserve">, p. 13, p.59 (shortened) </w:t>
      </w:r>
    </w:p>
  </w:footnote>
  <w:footnote w:id="2">
    <w:p w14:paraId="0968C249" w14:textId="77777777" w:rsidR="00B21BBC" w:rsidRPr="00567BAA" w:rsidRDefault="00B21BBC" w:rsidP="004311C5">
      <w:pPr>
        <w:pStyle w:val="FootnoteText"/>
        <w:spacing w:after="0"/>
      </w:pPr>
      <w:r>
        <w:rPr>
          <w:rStyle w:val="FootnoteReference"/>
        </w:rPr>
        <w:footnoteRef/>
      </w:r>
      <w:r>
        <w:t xml:space="preserve"> The current update is planned for April 2019. In the past, the implementing regulation has been updated in November 2015, August 2011, and September 2005. </w:t>
      </w:r>
    </w:p>
  </w:footnote>
  <w:footnote w:id="3">
    <w:p w14:paraId="12F221F8" w14:textId="24643838" w:rsidR="00B21BBC" w:rsidRPr="001F6986" w:rsidRDefault="00B21BBC" w:rsidP="004311C5">
      <w:pPr>
        <w:pStyle w:val="FootnoteText"/>
        <w:spacing w:after="0"/>
      </w:pPr>
      <w:r>
        <w:rPr>
          <w:rStyle w:val="FootnoteReference"/>
        </w:rPr>
        <w:footnoteRef/>
      </w:r>
      <w:r>
        <w:t xml:space="preserve"> </w:t>
      </w:r>
      <w:r w:rsidRPr="00A34654">
        <w:rPr>
          <w:lang w:val="en-IE"/>
        </w:rPr>
        <w:t xml:space="preserve">Article 52(2) of Directive 2014/24/EU, </w:t>
      </w:r>
      <w:r w:rsidRPr="00267491">
        <w:t>Article 72(2) of Directive 2014/25/EU</w:t>
      </w:r>
      <w:r>
        <w:t xml:space="preserve"> and</w:t>
      </w:r>
      <w:r w:rsidRPr="00267491">
        <w:t xml:space="preserve"> Articl</w:t>
      </w:r>
      <w:r>
        <w:t xml:space="preserve">e 32(5) of Directive 2009/81/EC. The Article may cause legal uncertainty in particular depending on the interpretation of “notice” (e.g. what information from national contract registers may be seen as a notice) and whether this Article is read literally or teleologically (e.g. whether it should apply only to information which could plausibly lead to unequal competition). </w:t>
      </w:r>
    </w:p>
  </w:footnote>
  <w:footnote w:id="4">
    <w:p w14:paraId="6EDD5C89" w14:textId="2673AD77" w:rsidR="00B21BBC" w:rsidRPr="00217D8D" w:rsidRDefault="00B21BBC">
      <w:pPr>
        <w:pStyle w:val="FootnoteText"/>
      </w:pPr>
      <w:r>
        <w:rPr>
          <w:rStyle w:val="FootnoteReference"/>
        </w:rPr>
        <w:footnoteRef/>
      </w:r>
      <w:r>
        <w:t xml:space="preserve"> This approach replaces the “extensions” approach discussed in previous versions of the consultation. Fields marked as “extensions” have been added as optional fields in the current proposal </w:t>
      </w:r>
      <w:r>
        <w:rPr>
          <w:lang w:val="en-US"/>
        </w:rPr>
        <w:t xml:space="preserve">(if they have been sufficiently mature) </w:t>
      </w:r>
      <w:r>
        <w:t>or will be revisited in future updates of the standard forms (if they require more reflections).</w:t>
      </w:r>
    </w:p>
  </w:footnote>
  <w:footnote w:id="5">
    <w:p w14:paraId="7D1FEB93" w14:textId="42767578" w:rsidR="00B21BBC" w:rsidRPr="00E050E8" w:rsidRDefault="00B21BBC" w:rsidP="00365F90">
      <w:pPr>
        <w:pStyle w:val="FootnoteText"/>
        <w:spacing w:after="0"/>
      </w:pPr>
      <w:r>
        <w:rPr>
          <w:rStyle w:val="FootnoteReference"/>
        </w:rPr>
        <w:footnoteRef/>
      </w:r>
      <w:r>
        <w:t xml:space="preserve"> Optional fields can be made mandatory in individual countries, regions or IT systems. </w:t>
      </w:r>
    </w:p>
  </w:footnote>
  <w:footnote w:id="6">
    <w:p w14:paraId="65D0F045" w14:textId="77777777" w:rsidR="00B21BBC" w:rsidRPr="00FE485E" w:rsidRDefault="00B21BBC" w:rsidP="00C25871">
      <w:pPr>
        <w:pStyle w:val="FootnoteText"/>
      </w:pPr>
      <w:r>
        <w:rPr>
          <w:rStyle w:val="FootnoteReference"/>
        </w:rPr>
        <w:footnoteRef/>
      </w:r>
      <w:r>
        <w:t xml:space="preserve"> In fact, </w:t>
      </w:r>
      <w:hyperlink r:id="rId2" w:history="1">
        <w:r w:rsidRPr="00DD09B1">
          <w:rPr>
            <w:rStyle w:val="Hyperlink"/>
          </w:rPr>
          <w:t>Tenders Electronic Daily data</w:t>
        </w:r>
      </w:hyperlink>
      <w:r>
        <w:t xml:space="preserve"> is the most popular dataset on the EU Open Data portal. </w:t>
      </w:r>
    </w:p>
  </w:footnote>
  <w:footnote w:id="7">
    <w:p w14:paraId="6313E94B" w14:textId="7A75F708" w:rsidR="00B21BBC" w:rsidRPr="00EE369C" w:rsidRDefault="00B21BBC">
      <w:pPr>
        <w:pStyle w:val="FootnoteText"/>
      </w:pPr>
      <w:r>
        <w:rPr>
          <w:rStyle w:val="FootnoteReference"/>
        </w:rPr>
        <w:footnoteRef/>
      </w:r>
      <w:r>
        <w:t xml:space="preserve"> </w:t>
      </w:r>
      <w:r>
        <w:rPr>
          <w:szCs w:val="24"/>
        </w:rPr>
        <w:t>Buyers should use these registries regardless of the field on winner nationality, as they are useful as a reference point to comply with the Directives’ provisions on exclusion grounds, in particular the last paragraph of Art. 57 of Directive 2014/24/EU.</w:t>
      </w:r>
    </w:p>
  </w:footnote>
  <w:footnote w:id="8">
    <w:p w14:paraId="54064860" w14:textId="79D7891C" w:rsidR="00B21BBC" w:rsidRPr="000D31D7" w:rsidRDefault="00B21BBC">
      <w:pPr>
        <w:pStyle w:val="FootnoteText"/>
        <w:rPr>
          <w:lang w:val="en-US"/>
        </w:rPr>
      </w:pPr>
      <w:r>
        <w:rPr>
          <w:rStyle w:val="FootnoteReference"/>
        </w:rPr>
        <w:footnoteRef/>
      </w:r>
      <w:r>
        <w:t xml:space="preserve"> </w:t>
      </w:r>
      <w:r w:rsidRPr="00600C16">
        <w:rPr>
          <w:szCs w:val="24"/>
        </w:rPr>
        <w:t>See e.g. OECD, “Detecting bid rigging in public procurement” (point 6)</w:t>
      </w:r>
      <w:r>
        <w:rPr>
          <w:szCs w:val="24"/>
        </w:rPr>
        <w:t xml:space="preserve">, URL: </w:t>
      </w:r>
      <w:hyperlink r:id="rId3" w:history="1">
        <w:r w:rsidRPr="00B27D9C">
          <w:rPr>
            <w:rStyle w:val="Hyperlink"/>
            <w:szCs w:val="24"/>
          </w:rPr>
          <w:t>http://www.oecd.org/competition/cartels/42594486.pdf</w:t>
        </w:r>
      </w:hyperlink>
      <w:r>
        <w:rPr>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B8BC5" w14:textId="77777777" w:rsidR="00B21BBC" w:rsidRDefault="00B21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4EB34" w14:textId="77777777" w:rsidR="00B21BBC" w:rsidRDefault="00B21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24B33" w14:textId="77777777" w:rsidR="00B21BBC" w:rsidRDefault="00B21BBC">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7F16830"/>
    <w:multiLevelType w:val="hybridMultilevel"/>
    <w:tmpl w:val="FDD2FF0A"/>
    <w:lvl w:ilvl="0" w:tplc="0809000F">
      <w:start w:val="1"/>
      <w:numFmt w:val="decimal"/>
      <w:lvlText w:val="%1."/>
      <w:lvlJc w:val="left"/>
      <w:pPr>
        <w:ind w:left="1080" w:hanging="360"/>
      </w:pPr>
      <w:rPr>
        <w:rFonts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DE61A8"/>
    <w:multiLevelType w:val="hybridMultilevel"/>
    <w:tmpl w:val="686A40CA"/>
    <w:name w:val="LegalNumParListTemplate3"/>
    <w:lvl w:ilvl="0" w:tplc="A588FCC0">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F0B73"/>
    <w:multiLevelType w:val="hybridMultilevel"/>
    <w:tmpl w:val="AB02DDC4"/>
    <w:lvl w:ilvl="0" w:tplc="2CA89F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B0198"/>
    <w:multiLevelType w:val="hybridMultilevel"/>
    <w:tmpl w:val="A78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D1BD8"/>
    <w:multiLevelType w:val="hybridMultilevel"/>
    <w:tmpl w:val="E5C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41AA2"/>
    <w:multiLevelType w:val="hybridMultilevel"/>
    <w:tmpl w:val="143CA996"/>
    <w:lvl w:ilvl="0" w:tplc="B69E6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A31E4"/>
    <w:multiLevelType w:val="multilevel"/>
    <w:tmpl w:val="31CCB9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0A4636"/>
    <w:multiLevelType w:val="hybridMultilevel"/>
    <w:tmpl w:val="42C011AE"/>
    <w:lvl w:ilvl="0" w:tplc="F8382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750F8"/>
    <w:multiLevelType w:val="hybridMultilevel"/>
    <w:tmpl w:val="FDD2FF0A"/>
    <w:lvl w:ilvl="0" w:tplc="0809000F">
      <w:start w:val="1"/>
      <w:numFmt w:val="decimal"/>
      <w:lvlText w:val="%1."/>
      <w:lvlJc w:val="left"/>
      <w:pPr>
        <w:ind w:left="1080" w:hanging="360"/>
      </w:pPr>
      <w:rPr>
        <w:rFonts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F734306"/>
    <w:multiLevelType w:val="multilevel"/>
    <w:tmpl w:val="D266108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F90BD6"/>
    <w:multiLevelType w:val="hybridMultilevel"/>
    <w:tmpl w:val="A7641CD2"/>
    <w:lvl w:ilvl="0" w:tplc="F8382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85942"/>
    <w:multiLevelType w:val="hybridMultilevel"/>
    <w:tmpl w:val="3A00A554"/>
    <w:lvl w:ilvl="0" w:tplc="0EDEC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21ED7"/>
    <w:multiLevelType w:val="hybridMultilevel"/>
    <w:tmpl w:val="B53C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10784A"/>
    <w:multiLevelType w:val="hybridMultilevel"/>
    <w:tmpl w:val="87568DBE"/>
    <w:lvl w:ilvl="0" w:tplc="40BA877E">
      <w:numFmt w:val="bullet"/>
      <w:lvlText w:val="•"/>
      <w:lvlJc w:val="left"/>
      <w:pPr>
        <w:ind w:left="720" w:hanging="72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D072BF8"/>
    <w:multiLevelType w:val="hybridMultilevel"/>
    <w:tmpl w:val="E84C55DA"/>
    <w:lvl w:ilvl="0" w:tplc="0234E394">
      <w:start w:val="1"/>
      <w:numFmt w:val="bullet"/>
      <w:lvlText w:val=""/>
      <w:lvlJc w:val="left"/>
      <w:pPr>
        <w:ind w:left="360" w:hanging="360"/>
      </w:pPr>
      <w:rPr>
        <w:rFonts w:ascii="Symbol" w:hAnsi="Symbol" w:hint="default"/>
        <w:lang w:val="en-US"/>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00B653C"/>
    <w:multiLevelType w:val="hybridMultilevel"/>
    <w:tmpl w:val="FDD2FF0A"/>
    <w:lvl w:ilvl="0" w:tplc="0809000F">
      <w:start w:val="1"/>
      <w:numFmt w:val="decimal"/>
      <w:lvlText w:val="%1."/>
      <w:lvlJc w:val="left"/>
      <w:pPr>
        <w:ind w:left="1080" w:hanging="360"/>
      </w:pPr>
      <w:rPr>
        <w:rFonts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7515482"/>
    <w:multiLevelType w:val="multilevel"/>
    <w:tmpl w:val="8D6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C56F6"/>
    <w:multiLevelType w:val="hybridMultilevel"/>
    <w:tmpl w:val="CEB0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944C7"/>
    <w:multiLevelType w:val="multilevel"/>
    <w:tmpl w:val="8B8A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9" w15:restartNumberingAfterBreak="0">
    <w:nsid w:val="3B0F688D"/>
    <w:multiLevelType w:val="hybridMultilevel"/>
    <w:tmpl w:val="822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31" w15:restartNumberingAfterBreak="0">
    <w:nsid w:val="41825349"/>
    <w:multiLevelType w:val="hybridMultilevel"/>
    <w:tmpl w:val="DF48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925CA"/>
    <w:multiLevelType w:val="hybridMultilevel"/>
    <w:tmpl w:val="FCB08E82"/>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33" w15:restartNumberingAfterBreak="0">
    <w:nsid w:val="44995FF0"/>
    <w:multiLevelType w:val="multilevel"/>
    <w:tmpl w:val="928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5" w15:restartNumberingAfterBreak="0">
    <w:nsid w:val="464205F1"/>
    <w:multiLevelType w:val="hybridMultilevel"/>
    <w:tmpl w:val="F064E03C"/>
    <w:lvl w:ilvl="0" w:tplc="6874C7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6316FF"/>
    <w:multiLevelType w:val="hybridMultilevel"/>
    <w:tmpl w:val="E67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C1091F"/>
    <w:multiLevelType w:val="hybridMultilevel"/>
    <w:tmpl w:val="1876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FCC03E3"/>
    <w:multiLevelType w:val="multilevel"/>
    <w:tmpl w:val="98AE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05A88"/>
    <w:multiLevelType w:val="hybridMultilevel"/>
    <w:tmpl w:val="B2EA6302"/>
    <w:lvl w:ilvl="0" w:tplc="A392AF08">
      <w:start w:val="1"/>
      <w:numFmt w:val="bullet"/>
      <w:lvlText w:val="•"/>
      <w:lvlJc w:val="left"/>
      <w:pPr>
        <w:tabs>
          <w:tab w:val="num" w:pos="720"/>
        </w:tabs>
        <w:ind w:left="720" w:hanging="360"/>
      </w:pPr>
      <w:rPr>
        <w:rFonts w:ascii="Arial" w:hAnsi="Arial" w:hint="default"/>
      </w:rPr>
    </w:lvl>
    <w:lvl w:ilvl="1" w:tplc="6A7EE366">
      <w:start w:val="1"/>
      <w:numFmt w:val="bullet"/>
      <w:lvlText w:val="•"/>
      <w:lvlJc w:val="left"/>
      <w:pPr>
        <w:tabs>
          <w:tab w:val="num" w:pos="1440"/>
        </w:tabs>
        <w:ind w:left="1440" w:hanging="360"/>
      </w:pPr>
      <w:rPr>
        <w:rFonts w:ascii="Arial" w:hAnsi="Arial" w:hint="default"/>
      </w:rPr>
    </w:lvl>
    <w:lvl w:ilvl="2" w:tplc="77462768" w:tentative="1">
      <w:start w:val="1"/>
      <w:numFmt w:val="bullet"/>
      <w:lvlText w:val="•"/>
      <w:lvlJc w:val="left"/>
      <w:pPr>
        <w:tabs>
          <w:tab w:val="num" w:pos="2160"/>
        </w:tabs>
        <w:ind w:left="2160" w:hanging="360"/>
      </w:pPr>
      <w:rPr>
        <w:rFonts w:ascii="Arial" w:hAnsi="Arial" w:hint="default"/>
      </w:rPr>
    </w:lvl>
    <w:lvl w:ilvl="3" w:tplc="0E985344" w:tentative="1">
      <w:start w:val="1"/>
      <w:numFmt w:val="bullet"/>
      <w:lvlText w:val="•"/>
      <w:lvlJc w:val="left"/>
      <w:pPr>
        <w:tabs>
          <w:tab w:val="num" w:pos="2880"/>
        </w:tabs>
        <w:ind w:left="2880" w:hanging="360"/>
      </w:pPr>
      <w:rPr>
        <w:rFonts w:ascii="Arial" w:hAnsi="Arial" w:hint="default"/>
      </w:rPr>
    </w:lvl>
    <w:lvl w:ilvl="4" w:tplc="ACC22F96" w:tentative="1">
      <w:start w:val="1"/>
      <w:numFmt w:val="bullet"/>
      <w:lvlText w:val="•"/>
      <w:lvlJc w:val="left"/>
      <w:pPr>
        <w:tabs>
          <w:tab w:val="num" w:pos="3600"/>
        </w:tabs>
        <w:ind w:left="3600" w:hanging="360"/>
      </w:pPr>
      <w:rPr>
        <w:rFonts w:ascii="Arial" w:hAnsi="Arial" w:hint="default"/>
      </w:rPr>
    </w:lvl>
    <w:lvl w:ilvl="5" w:tplc="D1F4F38E" w:tentative="1">
      <w:start w:val="1"/>
      <w:numFmt w:val="bullet"/>
      <w:lvlText w:val="•"/>
      <w:lvlJc w:val="left"/>
      <w:pPr>
        <w:tabs>
          <w:tab w:val="num" w:pos="4320"/>
        </w:tabs>
        <w:ind w:left="4320" w:hanging="360"/>
      </w:pPr>
      <w:rPr>
        <w:rFonts w:ascii="Arial" w:hAnsi="Arial" w:hint="default"/>
      </w:rPr>
    </w:lvl>
    <w:lvl w:ilvl="6" w:tplc="58342826" w:tentative="1">
      <w:start w:val="1"/>
      <w:numFmt w:val="bullet"/>
      <w:lvlText w:val="•"/>
      <w:lvlJc w:val="left"/>
      <w:pPr>
        <w:tabs>
          <w:tab w:val="num" w:pos="5040"/>
        </w:tabs>
        <w:ind w:left="5040" w:hanging="360"/>
      </w:pPr>
      <w:rPr>
        <w:rFonts w:ascii="Arial" w:hAnsi="Arial" w:hint="default"/>
      </w:rPr>
    </w:lvl>
    <w:lvl w:ilvl="7" w:tplc="7DFA711A" w:tentative="1">
      <w:start w:val="1"/>
      <w:numFmt w:val="bullet"/>
      <w:lvlText w:val="•"/>
      <w:lvlJc w:val="left"/>
      <w:pPr>
        <w:tabs>
          <w:tab w:val="num" w:pos="5760"/>
        </w:tabs>
        <w:ind w:left="5760" w:hanging="360"/>
      </w:pPr>
      <w:rPr>
        <w:rFonts w:ascii="Arial" w:hAnsi="Arial" w:hint="default"/>
      </w:rPr>
    </w:lvl>
    <w:lvl w:ilvl="8" w:tplc="5BE02C2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45E5419"/>
    <w:multiLevelType w:val="multilevel"/>
    <w:tmpl w:val="20B6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42" w15:restartNumberingAfterBreak="0">
    <w:nsid w:val="54E23618"/>
    <w:multiLevelType w:val="hybridMultilevel"/>
    <w:tmpl w:val="926E05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05085A"/>
    <w:multiLevelType w:val="hybridMultilevel"/>
    <w:tmpl w:val="407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7730E5"/>
    <w:multiLevelType w:val="hybridMultilevel"/>
    <w:tmpl w:val="AC166510"/>
    <w:lvl w:ilvl="0" w:tplc="98568A42">
      <w:start w:val="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6" w15:restartNumberingAfterBreak="0">
    <w:nsid w:val="5E1C2252"/>
    <w:multiLevelType w:val="hybridMultilevel"/>
    <w:tmpl w:val="DCD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8"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9" w15:restartNumberingAfterBreak="0">
    <w:nsid w:val="663B4310"/>
    <w:multiLevelType w:val="multilevel"/>
    <w:tmpl w:val="41C8EAFC"/>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8572D57"/>
    <w:multiLevelType w:val="hybridMultilevel"/>
    <w:tmpl w:val="62E42CE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51" w15:restartNumberingAfterBreak="0">
    <w:nsid w:val="68BF29F1"/>
    <w:multiLevelType w:val="hybridMultilevel"/>
    <w:tmpl w:val="E188E216"/>
    <w:lvl w:ilvl="0" w:tplc="F954AD44">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CE14FBC"/>
    <w:multiLevelType w:val="hybridMultilevel"/>
    <w:tmpl w:val="5C22F4F8"/>
    <w:lvl w:ilvl="0" w:tplc="B69E61D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54" w15:restartNumberingAfterBreak="0">
    <w:nsid w:val="71E103C6"/>
    <w:multiLevelType w:val="hybridMultilevel"/>
    <w:tmpl w:val="D84C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15:restartNumberingAfterBreak="0">
    <w:nsid w:val="76E91CD2"/>
    <w:multiLevelType w:val="multilevel"/>
    <w:tmpl w:val="A9A8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102CD"/>
    <w:multiLevelType w:val="hybridMultilevel"/>
    <w:tmpl w:val="3B9E9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82613CB"/>
    <w:multiLevelType w:val="hybridMultilevel"/>
    <w:tmpl w:val="17428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C6B63E6"/>
    <w:multiLevelType w:val="singleLevel"/>
    <w:tmpl w:val="0292EEF0"/>
    <w:name w:val="LegalNumParListTemplate"/>
    <w:lvl w:ilvl="0">
      <w:start w:val="1"/>
      <w:numFmt w:val="decimal"/>
      <w:lvlText w:val="%1."/>
      <w:lvlJc w:val="left"/>
      <w:pPr>
        <w:tabs>
          <w:tab w:val="num" w:pos="476"/>
        </w:tabs>
        <w:ind w:left="476" w:hanging="476"/>
      </w:pPr>
    </w:lvl>
  </w:abstractNum>
  <w:abstractNum w:abstractNumId="60" w15:restartNumberingAfterBreak="0">
    <w:nsid w:val="7F9125E5"/>
    <w:multiLevelType w:val="hybridMultilevel"/>
    <w:tmpl w:val="D9C63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30"/>
  </w:num>
  <w:num w:numId="5">
    <w:abstractNumId w:val="18"/>
  </w:num>
  <w:num w:numId="6">
    <w:abstractNumId w:val="28"/>
  </w:num>
  <w:num w:numId="7">
    <w:abstractNumId w:val="48"/>
  </w:num>
  <w:num w:numId="8">
    <w:abstractNumId w:val="53"/>
  </w:num>
  <w:num w:numId="9">
    <w:abstractNumId w:val="23"/>
  </w:num>
  <w:num w:numId="10">
    <w:abstractNumId w:val="47"/>
  </w:num>
  <w:num w:numId="11">
    <w:abstractNumId w:val="45"/>
  </w:num>
  <w:num w:numId="12">
    <w:abstractNumId w:val="34"/>
  </w:num>
  <w:num w:numId="13">
    <w:abstractNumId w:val="41"/>
  </w:num>
  <w:num w:numId="14">
    <w:abstractNumId w:val="13"/>
  </w:num>
  <w:num w:numId="15">
    <w:abstractNumId w:val="24"/>
  </w:num>
  <w:num w:numId="16">
    <w:abstractNumId w:val="11"/>
  </w:num>
  <w:num w:numId="17">
    <w:abstractNumId w:val="19"/>
  </w:num>
  <w:num w:numId="18">
    <w:abstractNumId w:val="55"/>
  </w:num>
  <w:num w:numId="19">
    <w:abstractNumId w:val="21"/>
  </w:num>
  <w:num w:numId="20">
    <w:abstractNumId w:val="59"/>
  </w:num>
  <w:num w:numId="21">
    <w:abstractNumId w:val="3"/>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17"/>
  </w:num>
  <w:num w:numId="29">
    <w:abstractNumId w:val="51"/>
  </w:num>
  <w:num w:numId="30">
    <w:abstractNumId w:val="20"/>
  </w:num>
  <w:num w:numId="31">
    <w:abstractNumId w:val="8"/>
  </w:num>
  <w:num w:numId="32">
    <w:abstractNumId w:val="50"/>
  </w:num>
  <w:num w:numId="33">
    <w:abstractNumId w:val="27"/>
  </w:num>
  <w:num w:numId="34">
    <w:abstractNumId w:val="27"/>
    <w:lvlOverride w:ilvl="3">
      <w:lvl w:ilvl="3">
        <w:numFmt w:val="bullet"/>
        <w:lvlText w:val=""/>
        <w:lvlJc w:val="left"/>
        <w:pPr>
          <w:tabs>
            <w:tab w:val="num" w:pos="2880"/>
          </w:tabs>
          <w:ind w:left="2880" w:hanging="360"/>
        </w:pPr>
        <w:rPr>
          <w:rFonts w:ascii="Symbol" w:hAnsi="Symbol" w:hint="default"/>
          <w:sz w:val="20"/>
        </w:rPr>
      </w:lvl>
    </w:lvlOverride>
  </w:num>
  <w:num w:numId="35">
    <w:abstractNumId w:val="49"/>
  </w:num>
  <w:num w:numId="36">
    <w:abstractNumId w:val="58"/>
  </w:num>
  <w:num w:numId="37">
    <w:abstractNumId w:val="60"/>
  </w:num>
  <w:num w:numId="38">
    <w:abstractNumId w:val="37"/>
  </w:num>
  <w:num w:numId="39">
    <w:abstractNumId w:val="12"/>
  </w:num>
  <w:num w:numId="40">
    <w:abstractNumId w:val="39"/>
  </w:num>
  <w:num w:numId="41">
    <w:abstractNumId w:val="12"/>
  </w:num>
  <w:num w:numId="42">
    <w:abstractNumId w:val="12"/>
  </w:num>
  <w:num w:numId="43">
    <w:abstractNumId w:val="16"/>
  </w:num>
  <w:num w:numId="44">
    <w:abstractNumId w:val="29"/>
  </w:num>
  <w:num w:numId="45">
    <w:abstractNumId w:val="56"/>
  </w:num>
  <w:num w:numId="46">
    <w:abstractNumId w:val="6"/>
  </w:num>
  <w:num w:numId="47">
    <w:abstractNumId w:val="40"/>
  </w:num>
  <w:num w:numId="48">
    <w:abstractNumId w:val="33"/>
  </w:num>
  <w:num w:numId="49">
    <w:abstractNumId w:val="38"/>
  </w:num>
  <w:num w:numId="50">
    <w:abstractNumId w:val="32"/>
  </w:num>
  <w:num w:numId="51">
    <w:abstractNumId w:val="7"/>
  </w:num>
  <w:num w:numId="52">
    <w:abstractNumId w:val="52"/>
  </w:num>
  <w:num w:numId="53">
    <w:abstractNumId w:val="44"/>
  </w:num>
  <w:num w:numId="54">
    <w:abstractNumId w:val="35"/>
  </w:num>
  <w:num w:numId="55">
    <w:abstractNumId w:val="25"/>
  </w:num>
  <w:num w:numId="56">
    <w:abstractNumId w:val="9"/>
  </w:num>
  <w:num w:numId="57">
    <w:abstractNumId w:val="14"/>
  </w:num>
  <w:num w:numId="58">
    <w:abstractNumId w:val="31"/>
  </w:num>
  <w:num w:numId="59">
    <w:abstractNumId w:val="46"/>
  </w:num>
  <w:num w:numId="60">
    <w:abstractNumId w:val="54"/>
  </w:num>
  <w:num w:numId="61">
    <w:abstractNumId w:val="42"/>
  </w:num>
  <w:num w:numId="62">
    <w:abstractNumId w:val="10"/>
  </w:num>
  <w:num w:numId="63">
    <w:abstractNumId w:val="36"/>
  </w:num>
  <w:num w:numId="64">
    <w:abstractNumId w:val="22"/>
  </w:num>
  <w:num w:numId="65">
    <w:abstractNumId w:val="2"/>
  </w:num>
  <w:num w:numId="66">
    <w:abstractNumId w:val="57"/>
  </w:num>
  <w:num w:numId="67">
    <w:abstractNumId w:val="43"/>
  </w:num>
  <w:num w:numId="68">
    <w:abstractNumId w:val="5"/>
  </w:num>
  <w:num w:numId="69">
    <w:abstractNumId w:val="26"/>
  </w:num>
  <w:num w:numId="70">
    <w:abstractNumId w:val="15"/>
  </w:num>
  <w:num w:numId="71">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312820"/>
    <w:rsid w:val="000033A0"/>
    <w:rsid w:val="00004289"/>
    <w:rsid w:val="00005811"/>
    <w:rsid w:val="0001430C"/>
    <w:rsid w:val="00014454"/>
    <w:rsid w:val="00015ABA"/>
    <w:rsid w:val="0001726B"/>
    <w:rsid w:val="00020C3A"/>
    <w:rsid w:val="00020EFC"/>
    <w:rsid w:val="00022CAB"/>
    <w:rsid w:val="00024561"/>
    <w:rsid w:val="00030EC3"/>
    <w:rsid w:val="0003629F"/>
    <w:rsid w:val="000401B0"/>
    <w:rsid w:val="00041A14"/>
    <w:rsid w:val="00042E0E"/>
    <w:rsid w:val="00045BFB"/>
    <w:rsid w:val="00046BD4"/>
    <w:rsid w:val="00050976"/>
    <w:rsid w:val="00054149"/>
    <w:rsid w:val="00055F9F"/>
    <w:rsid w:val="00056E98"/>
    <w:rsid w:val="00061FD1"/>
    <w:rsid w:val="00062076"/>
    <w:rsid w:val="000624DB"/>
    <w:rsid w:val="000662C2"/>
    <w:rsid w:val="00066370"/>
    <w:rsid w:val="00076DC3"/>
    <w:rsid w:val="00081F46"/>
    <w:rsid w:val="00082A7A"/>
    <w:rsid w:val="00082DC5"/>
    <w:rsid w:val="000926D4"/>
    <w:rsid w:val="00093081"/>
    <w:rsid w:val="00094D42"/>
    <w:rsid w:val="0009513D"/>
    <w:rsid w:val="000A204D"/>
    <w:rsid w:val="000A6433"/>
    <w:rsid w:val="000B0C1D"/>
    <w:rsid w:val="000B7729"/>
    <w:rsid w:val="000C0744"/>
    <w:rsid w:val="000D029B"/>
    <w:rsid w:val="000D04FD"/>
    <w:rsid w:val="000D247E"/>
    <w:rsid w:val="000D31D7"/>
    <w:rsid w:val="000D3ACD"/>
    <w:rsid w:val="000D540D"/>
    <w:rsid w:val="000D55FA"/>
    <w:rsid w:val="000D7877"/>
    <w:rsid w:val="000F024F"/>
    <w:rsid w:val="000F0A4E"/>
    <w:rsid w:val="000F2694"/>
    <w:rsid w:val="000F2E1A"/>
    <w:rsid w:val="000F5C77"/>
    <w:rsid w:val="000F7CCF"/>
    <w:rsid w:val="00101DB0"/>
    <w:rsid w:val="00102768"/>
    <w:rsid w:val="00103EFC"/>
    <w:rsid w:val="00104B7B"/>
    <w:rsid w:val="00110BBE"/>
    <w:rsid w:val="00110C2A"/>
    <w:rsid w:val="00110C74"/>
    <w:rsid w:val="00111D1B"/>
    <w:rsid w:val="00116A33"/>
    <w:rsid w:val="00121E02"/>
    <w:rsid w:val="001238F4"/>
    <w:rsid w:val="001239A9"/>
    <w:rsid w:val="001277C5"/>
    <w:rsid w:val="00132060"/>
    <w:rsid w:val="001338ED"/>
    <w:rsid w:val="00134264"/>
    <w:rsid w:val="00136C71"/>
    <w:rsid w:val="00140DA9"/>
    <w:rsid w:val="001412A5"/>
    <w:rsid w:val="00142F84"/>
    <w:rsid w:val="0014332D"/>
    <w:rsid w:val="0014546D"/>
    <w:rsid w:val="001500A4"/>
    <w:rsid w:val="001538C2"/>
    <w:rsid w:val="001602FF"/>
    <w:rsid w:val="001624E7"/>
    <w:rsid w:val="00163C3E"/>
    <w:rsid w:val="001647EE"/>
    <w:rsid w:val="00165E2A"/>
    <w:rsid w:val="001679AD"/>
    <w:rsid w:val="00170078"/>
    <w:rsid w:val="001735C0"/>
    <w:rsid w:val="00173E83"/>
    <w:rsid w:val="001822C3"/>
    <w:rsid w:val="001850BA"/>
    <w:rsid w:val="001956C3"/>
    <w:rsid w:val="00195FAD"/>
    <w:rsid w:val="00197A5A"/>
    <w:rsid w:val="001A2047"/>
    <w:rsid w:val="001A30DC"/>
    <w:rsid w:val="001A5589"/>
    <w:rsid w:val="001A6138"/>
    <w:rsid w:val="001C16FC"/>
    <w:rsid w:val="001E0353"/>
    <w:rsid w:val="001E1009"/>
    <w:rsid w:val="001E11F4"/>
    <w:rsid w:val="001E5EB7"/>
    <w:rsid w:val="001E7774"/>
    <w:rsid w:val="001F3D76"/>
    <w:rsid w:val="001F3EC4"/>
    <w:rsid w:val="001F49BF"/>
    <w:rsid w:val="001F4F78"/>
    <w:rsid w:val="001F522B"/>
    <w:rsid w:val="001F6986"/>
    <w:rsid w:val="001F7BED"/>
    <w:rsid w:val="00202669"/>
    <w:rsid w:val="002029F2"/>
    <w:rsid w:val="002043BC"/>
    <w:rsid w:val="0020715B"/>
    <w:rsid w:val="0021174B"/>
    <w:rsid w:val="0021279D"/>
    <w:rsid w:val="00213D98"/>
    <w:rsid w:val="00215620"/>
    <w:rsid w:val="00216DD9"/>
    <w:rsid w:val="00217D8D"/>
    <w:rsid w:val="00217E15"/>
    <w:rsid w:val="00225780"/>
    <w:rsid w:val="00231E9F"/>
    <w:rsid w:val="0023209C"/>
    <w:rsid w:val="00234B64"/>
    <w:rsid w:val="0023647B"/>
    <w:rsid w:val="00242EED"/>
    <w:rsid w:val="00254D9A"/>
    <w:rsid w:val="0025585A"/>
    <w:rsid w:val="00257215"/>
    <w:rsid w:val="00266EA8"/>
    <w:rsid w:val="00267641"/>
    <w:rsid w:val="0027361C"/>
    <w:rsid w:val="00276839"/>
    <w:rsid w:val="00276A7D"/>
    <w:rsid w:val="002801F6"/>
    <w:rsid w:val="00280BCD"/>
    <w:rsid w:val="002851F4"/>
    <w:rsid w:val="00294A91"/>
    <w:rsid w:val="002953E9"/>
    <w:rsid w:val="002A13BE"/>
    <w:rsid w:val="002A42E8"/>
    <w:rsid w:val="002B288A"/>
    <w:rsid w:val="002B30B4"/>
    <w:rsid w:val="002B44C5"/>
    <w:rsid w:val="002B593A"/>
    <w:rsid w:val="002C0F20"/>
    <w:rsid w:val="002C4AC2"/>
    <w:rsid w:val="002C7B0C"/>
    <w:rsid w:val="002D236E"/>
    <w:rsid w:val="002D325D"/>
    <w:rsid w:val="002D3E8B"/>
    <w:rsid w:val="002D45CF"/>
    <w:rsid w:val="002D4C0E"/>
    <w:rsid w:val="002D4EF4"/>
    <w:rsid w:val="002E7848"/>
    <w:rsid w:val="002F222E"/>
    <w:rsid w:val="002F3E47"/>
    <w:rsid w:val="002F573B"/>
    <w:rsid w:val="003025D9"/>
    <w:rsid w:val="00302EEE"/>
    <w:rsid w:val="00307E44"/>
    <w:rsid w:val="003106CA"/>
    <w:rsid w:val="00312820"/>
    <w:rsid w:val="003208A4"/>
    <w:rsid w:val="00320FE4"/>
    <w:rsid w:val="00321A96"/>
    <w:rsid w:val="00321DD1"/>
    <w:rsid w:val="00322344"/>
    <w:rsid w:val="00322B73"/>
    <w:rsid w:val="0032349A"/>
    <w:rsid w:val="00323CAE"/>
    <w:rsid w:val="003250D5"/>
    <w:rsid w:val="00334A13"/>
    <w:rsid w:val="00336266"/>
    <w:rsid w:val="00340C25"/>
    <w:rsid w:val="00347089"/>
    <w:rsid w:val="00353947"/>
    <w:rsid w:val="00363905"/>
    <w:rsid w:val="00363BA4"/>
    <w:rsid w:val="00365F90"/>
    <w:rsid w:val="00366AB8"/>
    <w:rsid w:val="00367598"/>
    <w:rsid w:val="00371F96"/>
    <w:rsid w:val="00373953"/>
    <w:rsid w:val="00373AA0"/>
    <w:rsid w:val="00376722"/>
    <w:rsid w:val="00376C63"/>
    <w:rsid w:val="00376E1A"/>
    <w:rsid w:val="00377D54"/>
    <w:rsid w:val="00381347"/>
    <w:rsid w:val="00385A8F"/>
    <w:rsid w:val="0039001C"/>
    <w:rsid w:val="00395D79"/>
    <w:rsid w:val="003A22DE"/>
    <w:rsid w:val="003A436D"/>
    <w:rsid w:val="003B36FF"/>
    <w:rsid w:val="003B62CA"/>
    <w:rsid w:val="003C1E72"/>
    <w:rsid w:val="003C6E72"/>
    <w:rsid w:val="003D129E"/>
    <w:rsid w:val="003D1BCB"/>
    <w:rsid w:val="003D2761"/>
    <w:rsid w:val="003D654F"/>
    <w:rsid w:val="003D65B2"/>
    <w:rsid w:val="003D67D7"/>
    <w:rsid w:val="003E0C08"/>
    <w:rsid w:val="003E13A9"/>
    <w:rsid w:val="003E20CE"/>
    <w:rsid w:val="003E4C66"/>
    <w:rsid w:val="003E649D"/>
    <w:rsid w:val="003F7EB7"/>
    <w:rsid w:val="00401183"/>
    <w:rsid w:val="00402223"/>
    <w:rsid w:val="004109CF"/>
    <w:rsid w:val="004157B0"/>
    <w:rsid w:val="00422756"/>
    <w:rsid w:val="0042778E"/>
    <w:rsid w:val="00427E01"/>
    <w:rsid w:val="00427FB5"/>
    <w:rsid w:val="004311C5"/>
    <w:rsid w:val="00431702"/>
    <w:rsid w:val="0043272B"/>
    <w:rsid w:val="0043308E"/>
    <w:rsid w:val="00441221"/>
    <w:rsid w:val="004431FD"/>
    <w:rsid w:val="00451B14"/>
    <w:rsid w:val="00454980"/>
    <w:rsid w:val="00455D5A"/>
    <w:rsid w:val="00456E7E"/>
    <w:rsid w:val="0046546F"/>
    <w:rsid w:val="00466276"/>
    <w:rsid w:val="0046655F"/>
    <w:rsid w:val="0046791B"/>
    <w:rsid w:val="00470D5D"/>
    <w:rsid w:val="00472263"/>
    <w:rsid w:val="00480057"/>
    <w:rsid w:val="00486885"/>
    <w:rsid w:val="00486E08"/>
    <w:rsid w:val="00492FF4"/>
    <w:rsid w:val="004962DA"/>
    <w:rsid w:val="004A022F"/>
    <w:rsid w:val="004A44FE"/>
    <w:rsid w:val="004A71CC"/>
    <w:rsid w:val="004B6F7E"/>
    <w:rsid w:val="004C3301"/>
    <w:rsid w:val="004C384C"/>
    <w:rsid w:val="004C49D7"/>
    <w:rsid w:val="004C7847"/>
    <w:rsid w:val="004D0BA9"/>
    <w:rsid w:val="004D124D"/>
    <w:rsid w:val="004D2D8E"/>
    <w:rsid w:val="004D7407"/>
    <w:rsid w:val="004E108D"/>
    <w:rsid w:val="004E2C79"/>
    <w:rsid w:val="004F0C55"/>
    <w:rsid w:val="004F0E9D"/>
    <w:rsid w:val="004F16BC"/>
    <w:rsid w:val="004F2030"/>
    <w:rsid w:val="004F258F"/>
    <w:rsid w:val="004F280C"/>
    <w:rsid w:val="00502027"/>
    <w:rsid w:val="005027B2"/>
    <w:rsid w:val="00503E3B"/>
    <w:rsid w:val="00506C7E"/>
    <w:rsid w:val="00513346"/>
    <w:rsid w:val="00515338"/>
    <w:rsid w:val="00515F92"/>
    <w:rsid w:val="00516752"/>
    <w:rsid w:val="00517BAD"/>
    <w:rsid w:val="00525DA7"/>
    <w:rsid w:val="00526708"/>
    <w:rsid w:val="005300AE"/>
    <w:rsid w:val="00533636"/>
    <w:rsid w:val="005353BF"/>
    <w:rsid w:val="00535759"/>
    <w:rsid w:val="005405CA"/>
    <w:rsid w:val="00544BDD"/>
    <w:rsid w:val="005466F1"/>
    <w:rsid w:val="005469D7"/>
    <w:rsid w:val="00551827"/>
    <w:rsid w:val="00554F32"/>
    <w:rsid w:val="005632AD"/>
    <w:rsid w:val="00563B71"/>
    <w:rsid w:val="00563F66"/>
    <w:rsid w:val="00567BAA"/>
    <w:rsid w:val="00577331"/>
    <w:rsid w:val="00581776"/>
    <w:rsid w:val="0058376A"/>
    <w:rsid w:val="00584A2A"/>
    <w:rsid w:val="0058581D"/>
    <w:rsid w:val="00586543"/>
    <w:rsid w:val="0059239D"/>
    <w:rsid w:val="00595583"/>
    <w:rsid w:val="00595EAB"/>
    <w:rsid w:val="0059715D"/>
    <w:rsid w:val="005A3E53"/>
    <w:rsid w:val="005A65E1"/>
    <w:rsid w:val="005A6AC3"/>
    <w:rsid w:val="005B5733"/>
    <w:rsid w:val="005B75BC"/>
    <w:rsid w:val="005C5881"/>
    <w:rsid w:val="005C5B58"/>
    <w:rsid w:val="005D50FF"/>
    <w:rsid w:val="005D6C11"/>
    <w:rsid w:val="005E07CB"/>
    <w:rsid w:val="005E19FD"/>
    <w:rsid w:val="005E3E52"/>
    <w:rsid w:val="005F15B8"/>
    <w:rsid w:val="005F1BAA"/>
    <w:rsid w:val="005F4D7B"/>
    <w:rsid w:val="00600C16"/>
    <w:rsid w:val="00603720"/>
    <w:rsid w:val="0060679C"/>
    <w:rsid w:val="00610B57"/>
    <w:rsid w:val="00611597"/>
    <w:rsid w:val="00612A18"/>
    <w:rsid w:val="00616A4B"/>
    <w:rsid w:val="00617378"/>
    <w:rsid w:val="006205FB"/>
    <w:rsid w:val="00621080"/>
    <w:rsid w:val="0062710F"/>
    <w:rsid w:val="00632881"/>
    <w:rsid w:val="00634B74"/>
    <w:rsid w:val="00637D41"/>
    <w:rsid w:val="006406B5"/>
    <w:rsid w:val="00642147"/>
    <w:rsid w:val="0064737E"/>
    <w:rsid w:val="00647D8F"/>
    <w:rsid w:val="00647E09"/>
    <w:rsid w:val="00651362"/>
    <w:rsid w:val="00651A7E"/>
    <w:rsid w:val="00651CD3"/>
    <w:rsid w:val="00653BC6"/>
    <w:rsid w:val="00656E35"/>
    <w:rsid w:val="006571DC"/>
    <w:rsid w:val="0065796D"/>
    <w:rsid w:val="0066077A"/>
    <w:rsid w:val="00660D7D"/>
    <w:rsid w:val="00664884"/>
    <w:rsid w:val="00664B3D"/>
    <w:rsid w:val="006651A1"/>
    <w:rsid w:val="00673959"/>
    <w:rsid w:val="00675ABC"/>
    <w:rsid w:val="006812E3"/>
    <w:rsid w:val="00683AD4"/>
    <w:rsid w:val="00686656"/>
    <w:rsid w:val="00694A56"/>
    <w:rsid w:val="006953C6"/>
    <w:rsid w:val="00697210"/>
    <w:rsid w:val="006976CC"/>
    <w:rsid w:val="006A11CF"/>
    <w:rsid w:val="006A483D"/>
    <w:rsid w:val="006A663F"/>
    <w:rsid w:val="006B028D"/>
    <w:rsid w:val="006B3567"/>
    <w:rsid w:val="006B4D82"/>
    <w:rsid w:val="006B6258"/>
    <w:rsid w:val="006B7C8A"/>
    <w:rsid w:val="006C261C"/>
    <w:rsid w:val="006C4C89"/>
    <w:rsid w:val="006C7130"/>
    <w:rsid w:val="006E190F"/>
    <w:rsid w:val="006E346A"/>
    <w:rsid w:val="006E4326"/>
    <w:rsid w:val="006F0218"/>
    <w:rsid w:val="006F4798"/>
    <w:rsid w:val="006F5192"/>
    <w:rsid w:val="006F6542"/>
    <w:rsid w:val="006F678C"/>
    <w:rsid w:val="00700A73"/>
    <w:rsid w:val="00705119"/>
    <w:rsid w:val="00706154"/>
    <w:rsid w:val="00707B88"/>
    <w:rsid w:val="007201E0"/>
    <w:rsid w:val="0072165E"/>
    <w:rsid w:val="00727120"/>
    <w:rsid w:val="00733F89"/>
    <w:rsid w:val="00734643"/>
    <w:rsid w:val="0073557C"/>
    <w:rsid w:val="00735F87"/>
    <w:rsid w:val="007375E0"/>
    <w:rsid w:val="00741676"/>
    <w:rsid w:val="007438F0"/>
    <w:rsid w:val="00744640"/>
    <w:rsid w:val="0074478C"/>
    <w:rsid w:val="00744BC8"/>
    <w:rsid w:val="0075201F"/>
    <w:rsid w:val="00753153"/>
    <w:rsid w:val="0075552F"/>
    <w:rsid w:val="00756A09"/>
    <w:rsid w:val="00760908"/>
    <w:rsid w:val="007626DB"/>
    <w:rsid w:val="00766F5C"/>
    <w:rsid w:val="007676E1"/>
    <w:rsid w:val="00770814"/>
    <w:rsid w:val="00770BA7"/>
    <w:rsid w:val="0077318D"/>
    <w:rsid w:val="00773994"/>
    <w:rsid w:val="00773A34"/>
    <w:rsid w:val="007773DF"/>
    <w:rsid w:val="00782ECF"/>
    <w:rsid w:val="00782FD3"/>
    <w:rsid w:val="00784658"/>
    <w:rsid w:val="00791BF2"/>
    <w:rsid w:val="00791F2E"/>
    <w:rsid w:val="00793ED6"/>
    <w:rsid w:val="0079578D"/>
    <w:rsid w:val="007A0398"/>
    <w:rsid w:val="007A47D8"/>
    <w:rsid w:val="007A5D7C"/>
    <w:rsid w:val="007A75E3"/>
    <w:rsid w:val="007B20DE"/>
    <w:rsid w:val="007B4939"/>
    <w:rsid w:val="007B4E50"/>
    <w:rsid w:val="007B54F6"/>
    <w:rsid w:val="007B5973"/>
    <w:rsid w:val="007B6066"/>
    <w:rsid w:val="007C4498"/>
    <w:rsid w:val="007C6536"/>
    <w:rsid w:val="007D0CD4"/>
    <w:rsid w:val="007D3064"/>
    <w:rsid w:val="007D3A5D"/>
    <w:rsid w:val="007D4546"/>
    <w:rsid w:val="007E3B49"/>
    <w:rsid w:val="007E3CA6"/>
    <w:rsid w:val="007E44A9"/>
    <w:rsid w:val="007E494C"/>
    <w:rsid w:val="007F1ED4"/>
    <w:rsid w:val="007F5990"/>
    <w:rsid w:val="007F61ED"/>
    <w:rsid w:val="007F68A6"/>
    <w:rsid w:val="00800DD8"/>
    <w:rsid w:val="00812509"/>
    <w:rsid w:val="008137EA"/>
    <w:rsid w:val="008142A2"/>
    <w:rsid w:val="0081694E"/>
    <w:rsid w:val="00823E6F"/>
    <w:rsid w:val="00824499"/>
    <w:rsid w:val="00825713"/>
    <w:rsid w:val="00834783"/>
    <w:rsid w:val="00840363"/>
    <w:rsid w:val="008442E2"/>
    <w:rsid w:val="00860FEE"/>
    <w:rsid w:val="00865185"/>
    <w:rsid w:val="00865575"/>
    <w:rsid w:val="00866CFF"/>
    <w:rsid w:val="008729A2"/>
    <w:rsid w:val="00872C0D"/>
    <w:rsid w:val="008763A7"/>
    <w:rsid w:val="00883D95"/>
    <w:rsid w:val="00890E7D"/>
    <w:rsid w:val="008953A5"/>
    <w:rsid w:val="008969A4"/>
    <w:rsid w:val="00897912"/>
    <w:rsid w:val="00897C50"/>
    <w:rsid w:val="008A0AA5"/>
    <w:rsid w:val="008A1A02"/>
    <w:rsid w:val="008A38A9"/>
    <w:rsid w:val="008A3F1F"/>
    <w:rsid w:val="008A68C6"/>
    <w:rsid w:val="008B1E92"/>
    <w:rsid w:val="008B2002"/>
    <w:rsid w:val="008B2519"/>
    <w:rsid w:val="008B68BB"/>
    <w:rsid w:val="008B7FA4"/>
    <w:rsid w:val="008C25C7"/>
    <w:rsid w:val="008C312E"/>
    <w:rsid w:val="008C3883"/>
    <w:rsid w:val="008C4542"/>
    <w:rsid w:val="008C4B97"/>
    <w:rsid w:val="008C5BD1"/>
    <w:rsid w:val="008C68FD"/>
    <w:rsid w:val="008C7F1E"/>
    <w:rsid w:val="008E1060"/>
    <w:rsid w:val="008F0384"/>
    <w:rsid w:val="00900C4F"/>
    <w:rsid w:val="00914827"/>
    <w:rsid w:val="009150E5"/>
    <w:rsid w:val="00917D06"/>
    <w:rsid w:val="00921F50"/>
    <w:rsid w:val="00922DC8"/>
    <w:rsid w:val="009345E4"/>
    <w:rsid w:val="009347E7"/>
    <w:rsid w:val="009369F9"/>
    <w:rsid w:val="00937557"/>
    <w:rsid w:val="009434E4"/>
    <w:rsid w:val="00943CCC"/>
    <w:rsid w:val="00944E0C"/>
    <w:rsid w:val="0095019D"/>
    <w:rsid w:val="00952581"/>
    <w:rsid w:val="00952B3C"/>
    <w:rsid w:val="00953938"/>
    <w:rsid w:val="0095673B"/>
    <w:rsid w:val="00962DDC"/>
    <w:rsid w:val="00962E1D"/>
    <w:rsid w:val="009668D1"/>
    <w:rsid w:val="009710B2"/>
    <w:rsid w:val="00972179"/>
    <w:rsid w:val="00974F62"/>
    <w:rsid w:val="0097564C"/>
    <w:rsid w:val="00982F51"/>
    <w:rsid w:val="00985B80"/>
    <w:rsid w:val="00985F0B"/>
    <w:rsid w:val="00990085"/>
    <w:rsid w:val="009917C8"/>
    <w:rsid w:val="009A1F3B"/>
    <w:rsid w:val="009A325C"/>
    <w:rsid w:val="009A44E9"/>
    <w:rsid w:val="009A5682"/>
    <w:rsid w:val="009A5C58"/>
    <w:rsid w:val="009A6FBA"/>
    <w:rsid w:val="009B2237"/>
    <w:rsid w:val="009B2AF7"/>
    <w:rsid w:val="009B5DC7"/>
    <w:rsid w:val="009C14BD"/>
    <w:rsid w:val="009C408E"/>
    <w:rsid w:val="009D143B"/>
    <w:rsid w:val="009D512F"/>
    <w:rsid w:val="009E153D"/>
    <w:rsid w:val="009E7FC6"/>
    <w:rsid w:val="009F01E4"/>
    <w:rsid w:val="009F07EF"/>
    <w:rsid w:val="009F26AA"/>
    <w:rsid w:val="009F385D"/>
    <w:rsid w:val="009F60ED"/>
    <w:rsid w:val="00A0214D"/>
    <w:rsid w:val="00A13CEA"/>
    <w:rsid w:val="00A27449"/>
    <w:rsid w:val="00A3160C"/>
    <w:rsid w:val="00A31787"/>
    <w:rsid w:val="00A323BF"/>
    <w:rsid w:val="00A34654"/>
    <w:rsid w:val="00A35699"/>
    <w:rsid w:val="00A36D78"/>
    <w:rsid w:val="00A37573"/>
    <w:rsid w:val="00A40A4E"/>
    <w:rsid w:val="00A41857"/>
    <w:rsid w:val="00A4202F"/>
    <w:rsid w:val="00A46FD8"/>
    <w:rsid w:val="00A52296"/>
    <w:rsid w:val="00A54F53"/>
    <w:rsid w:val="00A56E3D"/>
    <w:rsid w:val="00A610BD"/>
    <w:rsid w:val="00A62582"/>
    <w:rsid w:val="00A62F2A"/>
    <w:rsid w:val="00A65D47"/>
    <w:rsid w:val="00A669D5"/>
    <w:rsid w:val="00A677F6"/>
    <w:rsid w:val="00A67F29"/>
    <w:rsid w:val="00A717EB"/>
    <w:rsid w:val="00A7299B"/>
    <w:rsid w:val="00A732D5"/>
    <w:rsid w:val="00A73F56"/>
    <w:rsid w:val="00A763E4"/>
    <w:rsid w:val="00A77A1C"/>
    <w:rsid w:val="00A82551"/>
    <w:rsid w:val="00A83EA3"/>
    <w:rsid w:val="00A852F2"/>
    <w:rsid w:val="00A8550A"/>
    <w:rsid w:val="00A87CDE"/>
    <w:rsid w:val="00A90A7A"/>
    <w:rsid w:val="00A91DE5"/>
    <w:rsid w:val="00A96A2C"/>
    <w:rsid w:val="00AA2246"/>
    <w:rsid w:val="00AA3751"/>
    <w:rsid w:val="00AA5F8C"/>
    <w:rsid w:val="00AA63CB"/>
    <w:rsid w:val="00AB08A3"/>
    <w:rsid w:val="00AB3D07"/>
    <w:rsid w:val="00AD02CD"/>
    <w:rsid w:val="00AD0D17"/>
    <w:rsid w:val="00AD0F13"/>
    <w:rsid w:val="00AD2AA2"/>
    <w:rsid w:val="00AE0EF1"/>
    <w:rsid w:val="00AE263E"/>
    <w:rsid w:val="00AE750F"/>
    <w:rsid w:val="00AE76C1"/>
    <w:rsid w:val="00B00100"/>
    <w:rsid w:val="00B13D79"/>
    <w:rsid w:val="00B14D62"/>
    <w:rsid w:val="00B21BBC"/>
    <w:rsid w:val="00B25776"/>
    <w:rsid w:val="00B27C17"/>
    <w:rsid w:val="00B3337E"/>
    <w:rsid w:val="00B36FE7"/>
    <w:rsid w:val="00B40096"/>
    <w:rsid w:val="00B4261F"/>
    <w:rsid w:val="00B43783"/>
    <w:rsid w:val="00B4447F"/>
    <w:rsid w:val="00B44AB6"/>
    <w:rsid w:val="00B45FBF"/>
    <w:rsid w:val="00B46B71"/>
    <w:rsid w:val="00B51D3E"/>
    <w:rsid w:val="00B52CB3"/>
    <w:rsid w:val="00B5575D"/>
    <w:rsid w:val="00B5788B"/>
    <w:rsid w:val="00B57F1F"/>
    <w:rsid w:val="00B627E0"/>
    <w:rsid w:val="00B63404"/>
    <w:rsid w:val="00B70344"/>
    <w:rsid w:val="00B707B7"/>
    <w:rsid w:val="00B74222"/>
    <w:rsid w:val="00B7702D"/>
    <w:rsid w:val="00B90543"/>
    <w:rsid w:val="00B90AB5"/>
    <w:rsid w:val="00B94451"/>
    <w:rsid w:val="00B94EF0"/>
    <w:rsid w:val="00BA1E5C"/>
    <w:rsid w:val="00BA2107"/>
    <w:rsid w:val="00BB24D4"/>
    <w:rsid w:val="00BB461F"/>
    <w:rsid w:val="00BC4A4F"/>
    <w:rsid w:val="00BC7D87"/>
    <w:rsid w:val="00BD01DA"/>
    <w:rsid w:val="00BD1E69"/>
    <w:rsid w:val="00BD2CD2"/>
    <w:rsid w:val="00BD378B"/>
    <w:rsid w:val="00BD44EE"/>
    <w:rsid w:val="00BD47D9"/>
    <w:rsid w:val="00BD6E74"/>
    <w:rsid w:val="00BE0057"/>
    <w:rsid w:val="00BE3941"/>
    <w:rsid w:val="00BE3C80"/>
    <w:rsid w:val="00BE581A"/>
    <w:rsid w:val="00BE7106"/>
    <w:rsid w:val="00BF3DEE"/>
    <w:rsid w:val="00BF51A2"/>
    <w:rsid w:val="00C019C8"/>
    <w:rsid w:val="00C01BB0"/>
    <w:rsid w:val="00C02417"/>
    <w:rsid w:val="00C03270"/>
    <w:rsid w:val="00C0590C"/>
    <w:rsid w:val="00C0602B"/>
    <w:rsid w:val="00C072D5"/>
    <w:rsid w:val="00C10830"/>
    <w:rsid w:val="00C1385C"/>
    <w:rsid w:val="00C150BD"/>
    <w:rsid w:val="00C152FF"/>
    <w:rsid w:val="00C20D74"/>
    <w:rsid w:val="00C22E9E"/>
    <w:rsid w:val="00C24686"/>
    <w:rsid w:val="00C25871"/>
    <w:rsid w:val="00C31FCB"/>
    <w:rsid w:val="00C338E8"/>
    <w:rsid w:val="00C33983"/>
    <w:rsid w:val="00C34FFC"/>
    <w:rsid w:val="00C374B7"/>
    <w:rsid w:val="00C44F9F"/>
    <w:rsid w:val="00C46DD3"/>
    <w:rsid w:val="00C4790D"/>
    <w:rsid w:val="00C53471"/>
    <w:rsid w:val="00C53E61"/>
    <w:rsid w:val="00C54E87"/>
    <w:rsid w:val="00C62F91"/>
    <w:rsid w:val="00C66472"/>
    <w:rsid w:val="00C81061"/>
    <w:rsid w:val="00C82FEA"/>
    <w:rsid w:val="00C8345B"/>
    <w:rsid w:val="00C92A42"/>
    <w:rsid w:val="00C93E12"/>
    <w:rsid w:val="00C946A8"/>
    <w:rsid w:val="00CA0E3E"/>
    <w:rsid w:val="00CA3FF9"/>
    <w:rsid w:val="00CA676E"/>
    <w:rsid w:val="00CB0A6D"/>
    <w:rsid w:val="00CC0121"/>
    <w:rsid w:val="00CC3108"/>
    <w:rsid w:val="00CC429F"/>
    <w:rsid w:val="00CC4D5F"/>
    <w:rsid w:val="00CC74B8"/>
    <w:rsid w:val="00CD4D59"/>
    <w:rsid w:val="00CD5684"/>
    <w:rsid w:val="00CD5A1A"/>
    <w:rsid w:val="00CD6DFC"/>
    <w:rsid w:val="00CE0B27"/>
    <w:rsid w:val="00CE1244"/>
    <w:rsid w:val="00CF7FED"/>
    <w:rsid w:val="00D00B36"/>
    <w:rsid w:val="00D03155"/>
    <w:rsid w:val="00D120EC"/>
    <w:rsid w:val="00D15882"/>
    <w:rsid w:val="00D1600C"/>
    <w:rsid w:val="00D20A3A"/>
    <w:rsid w:val="00D33684"/>
    <w:rsid w:val="00D347C4"/>
    <w:rsid w:val="00D347EF"/>
    <w:rsid w:val="00D37F67"/>
    <w:rsid w:val="00D444C4"/>
    <w:rsid w:val="00D47112"/>
    <w:rsid w:val="00D47C57"/>
    <w:rsid w:val="00D5030B"/>
    <w:rsid w:val="00D5379A"/>
    <w:rsid w:val="00D53CFA"/>
    <w:rsid w:val="00D55E22"/>
    <w:rsid w:val="00D608FB"/>
    <w:rsid w:val="00D60B6D"/>
    <w:rsid w:val="00D61399"/>
    <w:rsid w:val="00D651B9"/>
    <w:rsid w:val="00D65C68"/>
    <w:rsid w:val="00D67F44"/>
    <w:rsid w:val="00D717B1"/>
    <w:rsid w:val="00D74D89"/>
    <w:rsid w:val="00D8206D"/>
    <w:rsid w:val="00D82EC1"/>
    <w:rsid w:val="00D83097"/>
    <w:rsid w:val="00D90216"/>
    <w:rsid w:val="00D90391"/>
    <w:rsid w:val="00D93839"/>
    <w:rsid w:val="00DA0178"/>
    <w:rsid w:val="00DA4302"/>
    <w:rsid w:val="00DA572B"/>
    <w:rsid w:val="00DA6B1C"/>
    <w:rsid w:val="00DB33C2"/>
    <w:rsid w:val="00DB3491"/>
    <w:rsid w:val="00DB7BA0"/>
    <w:rsid w:val="00DC0A94"/>
    <w:rsid w:val="00DC7142"/>
    <w:rsid w:val="00DC72E4"/>
    <w:rsid w:val="00DD07F9"/>
    <w:rsid w:val="00DD09B1"/>
    <w:rsid w:val="00DD39BC"/>
    <w:rsid w:val="00DD5715"/>
    <w:rsid w:val="00DE31A7"/>
    <w:rsid w:val="00DE5CD4"/>
    <w:rsid w:val="00DE704E"/>
    <w:rsid w:val="00E050E8"/>
    <w:rsid w:val="00E07814"/>
    <w:rsid w:val="00E13440"/>
    <w:rsid w:val="00E135EC"/>
    <w:rsid w:val="00E1463B"/>
    <w:rsid w:val="00E25B60"/>
    <w:rsid w:val="00E310EB"/>
    <w:rsid w:val="00E3174F"/>
    <w:rsid w:val="00E34F69"/>
    <w:rsid w:val="00E40C74"/>
    <w:rsid w:val="00E4248F"/>
    <w:rsid w:val="00E427DC"/>
    <w:rsid w:val="00E43E02"/>
    <w:rsid w:val="00E4625E"/>
    <w:rsid w:val="00E55DB7"/>
    <w:rsid w:val="00E62E6E"/>
    <w:rsid w:val="00E640B5"/>
    <w:rsid w:val="00E742A6"/>
    <w:rsid w:val="00E76D28"/>
    <w:rsid w:val="00E82041"/>
    <w:rsid w:val="00E85913"/>
    <w:rsid w:val="00E9080F"/>
    <w:rsid w:val="00E916C7"/>
    <w:rsid w:val="00E935E3"/>
    <w:rsid w:val="00E93C4C"/>
    <w:rsid w:val="00E94852"/>
    <w:rsid w:val="00E966AD"/>
    <w:rsid w:val="00EA376C"/>
    <w:rsid w:val="00EA3B76"/>
    <w:rsid w:val="00EA42B5"/>
    <w:rsid w:val="00EA42FC"/>
    <w:rsid w:val="00ED1376"/>
    <w:rsid w:val="00ED3E6B"/>
    <w:rsid w:val="00ED4232"/>
    <w:rsid w:val="00EE038E"/>
    <w:rsid w:val="00EE0FF1"/>
    <w:rsid w:val="00EE123C"/>
    <w:rsid w:val="00EE1F62"/>
    <w:rsid w:val="00EE35D1"/>
    <w:rsid w:val="00EE369C"/>
    <w:rsid w:val="00EF3768"/>
    <w:rsid w:val="00F005E7"/>
    <w:rsid w:val="00F01CC6"/>
    <w:rsid w:val="00F01DFD"/>
    <w:rsid w:val="00F0608F"/>
    <w:rsid w:val="00F0721E"/>
    <w:rsid w:val="00F11234"/>
    <w:rsid w:val="00F2438B"/>
    <w:rsid w:val="00F30791"/>
    <w:rsid w:val="00F309A5"/>
    <w:rsid w:val="00F30B45"/>
    <w:rsid w:val="00F4437B"/>
    <w:rsid w:val="00F45205"/>
    <w:rsid w:val="00F5336F"/>
    <w:rsid w:val="00F56C84"/>
    <w:rsid w:val="00F61318"/>
    <w:rsid w:val="00F61DF4"/>
    <w:rsid w:val="00F643CC"/>
    <w:rsid w:val="00F75385"/>
    <w:rsid w:val="00F7710C"/>
    <w:rsid w:val="00F773E9"/>
    <w:rsid w:val="00F82774"/>
    <w:rsid w:val="00F87D29"/>
    <w:rsid w:val="00F9571E"/>
    <w:rsid w:val="00F95BC3"/>
    <w:rsid w:val="00F96041"/>
    <w:rsid w:val="00F96BA6"/>
    <w:rsid w:val="00FA5039"/>
    <w:rsid w:val="00FB08BF"/>
    <w:rsid w:val="00FB1D8C"/>
    <w:rsid w:val="00FB62F1"/>
    <w:rsid w:val="00FB7913"/>
    <w:rsid w:val="00FB7D49"/>
    <w:rsid w:val="00FC7CD6"/>
    <w:rsid w:val="00FD19D1"/>
    <w:rsid w:val="00FD49AB"/>
    <w:rsid w:val="00FE01A1"/>
    <w:rsid w:val="00FE0AFE"/>
    <w:rsid w:val="00FE2F95"/>
    <w:rsid w:val="00FE38B5"/>
    <w:rsid w:val="00FE485E"/>
    <w:rsid w:val="00FF5B39"/>
    <w:rsid w:val="00FF7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024AEA"/>
  <w15:docId w15:val="{2EA36395-48F6-4673-8654-EA451175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sz w:val="24"/>
      <w:lang w:eastAsia="en-US"/>
    </w:rPr>
  </w:style>
  <w:style w:type="paragraph" w:styleId="Heading1">
    <w:name w:val="heading 1"/>
    <w:basedOn w:val="Normal"/>
    <w:next w:val="Text1"/>
    <w:qFormat/>
    <w:pPr>
      <w:keepNext/>
      <w:numPr>
        <w:numId w:val="3"/>
      </w:numPr>
      <w:spacing w:before="240"/>
      <w:outlineLvl w:val="0"/>
    </w:pPr>
    <w:rPr>
      <w:b/>
      <w:smallCaps/>
    </w:rPr>
  </w:style>
  <w:style w:type="paragraph" w:styleId="Heading2">
    <w:name w:val="heading 2"/>
    <w:basedOn w:val="Normal"/>
    <w:next w:val="Text2"/>
    <w:link w:val="Heading2Char"/>
    <w:uiPriority w:val="9"/>
    <w:qFormat/>
    <w:pPr>
      <w:keepNext/>
      <w:numPr>
        <w:ilvl w:val="1"/>
        <w:numId w:val="3"/>
      </w:numPr>
      <w:outlineLvl w:val="1"/>
    </w:pPr>
    <w:rPr>
      <w:b/>
    </w:rPr>
  </w:style>
  <w:style w:type="paragraph" w:styleId="Heading3">
    <w:name w:val="heading 3"/>
    <w:basedOn w:val="Normal"/>
    <w:next w:val="Text3"/>
    <w:link w:val="Heading3Char"/>
    <w:uiPriority w:val="9"/>
    <w:qFormat/>
    <w:pPr>
      <w:keepNext/>
      <w:numPr>
        <w:ilvl w:val="2"/>
        <w:numId w:val="3"/>
      </w:numPr>
      <w:outlineLvl w:val="2"/>
    </w:pPr>
    <w:rPr>
      <w:i/>
    </w:rPr>
  </w:style>
  <w:style w:type="paragraph" w:styleId="Heading4">
    <w:name w:val="heading 4"/>
    <w:basedOn w:val="Normal"/>
    <w:next w:val="Text4"/>
    <w:link w:val="Heading4Char"/>
    <w:uiPriority w:val="9"/>
    <w:qFormat/>
    <w:pPr>
      <w:keepNext/>
      <w:numPr>
        <w:ilvl w:val="3"/>
        <w:numId w:val="3"/>
      </w:numPr>
      <w:outlineLvl w:val="3"/>
    </w:pPr>
  </w:style>
  <w:style w:type="paragraph" w:styleId="Heading5">
    <w:name w:val="heading 5"/>
    <w:basedOn w:val="Normal"/>
    <w:next w:val="Normal"/>
    <w:qFormat/>
    <w:pPr>
      <w:tabs>
        <w:tab w:val="num" w:pos="0"/>
      </w:tabs>
      <w:spacing w:before="240" w:after="60"/>
      <w:outlineLvl w:val="4"/>
    </w:pPr>
    <w:rPr>
      <w:rFonts w:ascii="Arial" w:hAnsi="Arial"/>
      <w:sz w:val="22"/>
    </w:rPr>
  </w:style>
  <w:style w:type="paragraph" w:styleId="Heading6">
    <w:name w:val="heading 6"/>
    <w:basedOn w:val="Normal"/>
    <w:next w:val="Normal"/>
    <w:qFormat/>
    <w:pPr>
      <w:tabs>
        <w:tab w:val="num" w:pos="0"/>
      </w:tabs>
      <w:spacing w:before="240" w:after="60"/>
      <w:outlineLvl w:val="5"/>
    </w:pPr>
    <w:rPr>
      <w:rFonts w:ascii="Arial" w:hAnsi="Arial"/>
      <w:i/>
      <w:sz w:val="22"/>
    </w:rPr>
  </w:style>
  <w:style w:type="paragraph" w:styleId="Heading7">
    <w:name w:val="heading 7"/>
    <w:basedOn w:val="Normal"/>
    <w:next w:val="Normal"/>
    <w:qFormat/>
    <w:pPr>
      <w:tabs>
        <w:tab w:val="num" w:pos="0"/>
      </w:tabs>
      <w:spacing w:before="240" w:after="60"/>
      <w:outlineLvl w:val="6"/>
    </w:pPr>
    <w:rPr>
      <w:rFonts w:ascii="Arial" w:hAnsi="Arial"/>
      <w:sz w:val="20"/>
    </w:rPr>
  </w:style>
  <w:style w:type="paragraph" w:styleId="Heading8">
    <w:name w:val="heading 8"/>
    <w:basedOn w:val="Normal"/>
    <w:next w:val="Normal"/>
    <w:qFormat/>
    <w:pPr>
      <w:tabs>
        <w:tab w:val="num" w:pos="0"/>
      </w:tabs>
      <w:spacing w:before="240" w:after="60"/>
      <w:outlineLvl w:val="7"/>
    </w:pPr>
    <w:rPr>
      <w:rFonts w:ascii="Arial" w:hAnsi="Arial"/>
      <w:i/>
      <w:sz w:val="20"/>
    </w:rPr>
  </w:style>
  <w:style w:type="paragraph" w:styleId="Heading9">
    <w:name w:val="heading 9"/>
    <w:basedOn w:val="Normal"/>
    <w:next w:val="Normal"/>
    <w:qFormat/>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302"/>
      </w:tabs>
      <w:ind w:left="1202"/>
    </w:pPr>
  </w:style>
  <w:style w:type="paragraph" w:customStyle="1" w:styleId="Text3">
    <w:name w:val="Text 3"/>
    <w:basedOn w:val="Normal"/>
    <w:pPr>
      <w:tabs>
        <w:tab w:val="left" w:pos="2302"/>
      </w:tabs>
      <w:ind w:left="1202"/>
    </w:pPr>
  </w:style>
  <w:style w:type="paragraph" w:customStyle="1" w:styleId="Text4">
    <w:name w:val="Text 4"/>
    <w:basedOn w:val="Normal"/>
    <w:pPr>
      <w:tabs>
        <w:tab w:val="left" w:pos="2302"/>
      </w:tabs>
      <w:ind w:left="1202"/>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customStyle="1" w:styleId="ChapterTitle">
    <w:name w:val="ChapterTitle"/>
    <w:basedOn w:val="Normal"/>
    <w:next w:val="SectionTitle"/>
    <w:pPr>
      <w:keepNext/>
      <w:spacing w:after="480"/>
      <w:jc w:val="center"/>
    </w:pPr>
    <w:rPr>
      <w:b/>
      <w:sz w:val="32"/>
    </w:rPr>
  </w:style>
  <w:style w:type="paragraph" w:customStyle="1" w:styleId="SectionTitle">
    <w:name w:val="SectionTitle"/>
    <w:basedOn w:val="Normal"/>
    <w:next w:val="Heading1"/>
    <w:pPr>
      <w:keepNext/>
      <w:spacing w:after="480"/>
      <w:jc w:val="center"/>
    </w:pPr>
    <w:rPr>
      <w:b/>
      <w:smallCaps/>
      <w:sz w:val="28"/>
    </w:rPr>
  </w:style>
  <w:style w:type="paragraph" w:styleId="Closing">
    <w:name w:val="Closing"/>
    <w:basedOn w:val="Normal"/>
    <w:pPr>
      <w:ind w:left="4252"/>
    </w:pPr>
  </w:style>
  <w:style w:type="paragraph" w:styleId="CommentText">
    <w:name w:val="annotation text"/>
    <w:basedOn w:val="Normal"/>
    <w:link w:val="CommentTextChar"/>
    <w:uiPriority w:val="99"/>
    <w:rPr>
      <w:sz w:val="20"/>
    </w:rPr>
  </w:style>
  <w:style w:type="paragraph" w:styleId="Date">
    <w:name w:val="Date"/>
    <w:basedOn w:val="Normal"/>
    <w:next w:val="References"/>
    <w:pPr>
      <w:spacing w:after="0"/>
      <w:ind w:left="5103" w:right="-567"/>
      <w:jc w:val="left"/>
    </w:pPr>
  </w:style>
  <w:style w:type="paragraph" w:customStyle="1" w:styleId="References">
    <w:name w:val="References"/>
    <w:basedOn w:val="Normal"/>
    <w:next w:val="AddressTR"/>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Enclosures"/>
    <w:pPr>
      <w:tabs>
        <w:tab w:val="left" w:pos="5103"/>
      </w:tabs>
      <w:spacing w:before="1200" w:after="0"/>
      <w:jc w:val="left"/>
    </w:pPr>
  </w:style>
  <w:style w:type="paragraph" w:customStyle="1" w:styleId="Enclosures">
    <w:name w:val="Enclosures"/>
    <w:basedOn w:val="Normal"/>
    <w:pPr>
      <w:keepNext/>
      <w:keepLines/>
      <w:tabs>
        <w:tab w:val="left" w:pos="5642"/>
      </w:tabs>
      <w:spacing w:before="480" w:after="0"/>
      <w:ind w:left="1191" w:hanging="1191"/>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link w:val="FootnoteTextChar"/>
    <w:uiPriority w:val="99"/>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302"/>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tabs>
        <w:tab w:val="clear" w:pos="2302"/>
      </w:tabs>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302"/>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tabs>
        <w:tab w:val="clear" w:pos="2302"/>
      </w:tabs>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customStyle="1" w:styleId="PartTitle">
    <w:name w:val="PartTitle"/>
    <w:basedOn w:val="Normal"/>
    <w:next w:val="ChapterTitle"/>
    <w:pPr>
      <w:keepNext/>
      <w:pageBreakBefore/>
      <w:spacing w:after="480"/>
      <w:jc w:val="center"/>
    </w:pPr>
    <w:rPr>
      <w:b/>
      <w:sz w:val="36"/>
    </w:r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next w:val="Enclosures"/>
    <w:pPr>
      <w:tabs>
        <w:tab w:val="left" w:pos="5103"/>
      </w:tabs>
      <w:spacing w:before="1200" w:after="0"/>
      <w:ind w:left="5103"/>
      <w:jc w:val="center"/>
    </w:pPr>
  </w:style>
  <w:style w:type="paragraph" w:styleId="Subtitle">
    <w:name w:val="Subtitle"/>
    <w:basedOn w:val="Normal"/>
    <w:link w:val="SubtitleChar"/>
    <w:uiPriority w:val="11"/>
    <w:qFormat/>
    <w:pPr>
      <w:spacing w:after="60"/>
      <w:jc w:val="center"/>
      <w:outlineLvl w:val="1"/>
    </w:pPr>
    <w:rPr>
      <w:rFonts w:ascii="Arial" w:hAnsi="Arial"/>
    </w:rPr>
  </w:style>
  <w:style w:type="paragraph" w:customStyle="1" w:styleId="SubTitle1">
    <w:name w:val="SubTitle 1"/>
    <w:basedOn w:val="Normal"/>
    <w:next w:val="SubTitle2"/>
    <w:pPr>
      <w:jc w:val="center"/>
    </w:pPr>
    <w:rPr>
      <w:b/>
      <w:sz w:val="40"/>
    </w:rPr>
  </w:style>
  <w:style w:type="paragraph" w:customStyle="1" w:styleId="SubTitle2">
    <w:name w:val="SubTitle 2"/>
    <w:basedOn w:val="Normal"/>
    <w:pPr>
      <w:jc w:val="center"/>
    </w:pPr>
    <w:rPr>
      <w:b/>
      <w:sz w:val="32"/>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302"/>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tabs>
        <w:tab w:val="clear" w:pos="2302"/>
      </w:tabs>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302"/>
      </w:tabs>
    </w:pPr>
  </w:style>
  <w:style w:type="paragraph" w:customStyle="1" w:styleId="ListNumber2Level3">
    <w:name w:val="List Number 2 (Level 3)"/>
    <w:basedOn w:val="Text2"/>
    <w:pPr>
      <w:numPr>
        <w:ilvl w:val="2"/>
        <w:numId w:val="16"/>
      </w:numPr>
      <w:tabs>
        <w:tab w:val="clear" w:pos="2302"/>
      </w:tabs>
    </w:pPr>
  </w:style>
  <w:style w:type="paragraph" w:customStyle="1" w:styleId="ListNumber2Level4">
    <w:name w:val="List Number 2 (Level 4)"/>
    <w:basedOn w:val="Text2"/>
    <w:pPr>
      <w:numPr>
        <w:ilvl w:val="3"/>
        <w:numId w:val="16"/>
      </w:numPr>
      <w:tabs>
        <w:tab w:val="clear" w:pos="2302"/>
      </w:tabs>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tabs>
        <w:tab w:val="clear" w:pos="2302"/>
      </w:tabs>
    </w:pPr>
  </w:style>
  <w:style w:type="paragraph" w:customStyle="1" w:styleId="ListNumber4Level3">
    <w:name w:val="List Number 4 (Level 3)"/>
    <w:basedOn w:val="Text4"/>
    <w:pPr>
      <w:numPr>
        <w:ilvl w:val="2"/>
        <w:numId w:val="18"/>
      </w:numPr>
      <w:tabs>
        <w:tab w:val="clear" w:pos="2302"/>
      </w:tabs>
    </w:pPr>
  </w:style>
  <w:style w:type="paragraph" w:customStyle="1" w:styleId="ListNumber4Level4">
    <w:name w:val="List Number 4 (Level 4)"/>
    <w:basedOn w:val="Text4"/>
    <w:pPr>
      <w:numPr>
        <w:ilvl w:val="3"/>
        <w:numId w:val="18"/>
      </w:numPr>
      <w:tabs>
        <w:tab w:val="clear" w:pos="2302"/>
      </w:tabs>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Normal"/>
    <w:uiPriority w:val="99"/>
    <w:pPr>
      <w:spacing w:after="480"/>
      <w:ind w:left="567" w:hanging="567"/>
      <w:jc w:val="left"/>
    </w:p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SecretUE">
    <w:name w:val="Secret UE"/>
    <w:basedOn w:val="Normal"/>
    <w:pPr>
      <w:spacing w:after="0"/>
      <w:jc w:val="center"/>
    </w:pPr>
    <w:rPr>
      <w:b/>
      <w:caps/>
      <w:color w:val="FF0000"/>
      <w:sz w:val="32"/>
      <w:bdr w:val="single" w:sz="18" w:space="0" w:color="FF0000"/>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LegalNumPar">
    <w:name w:val="LegalNumPar"/>
    <w:basedOn w:val="Normal"/>
    <w:pPr>
      <w:numPr>
        <w:numId w:val="27"/>
      </w:numPr>
      <w:spacing w:line="360" w:lineRule="auto"/>
      <w:jc w:val="left"/>
    </w:pPr>
    <w:rPr>
      <w:rFonts w:eastAsiaTheme="minorHAnsi"/>
      <w:szCs w:val="22"/>
    </w:rPr>
  </w:style>
  <w:style w:type="paragraph" w:customStyle="1" w:styleId="LegalNumPar2">
    <w:name w:val="LegalNumPar2"/>
    <w:basedOn w:val="Normal"/>
    <w:pPr>
      <w:numPr>
        <w:ilvl w:val="1"/>
        <w:numId w:val="27"/>
      </w:numPr>
      <w:spacing w:line="360" w:lineRule="auto"/>
      <w:ind w:left="952" w:hanging="476"/>
      <w:jc w:val="left"/>
    </w:pPr>
    <w:rPr>
      <w:rFonts w:eastAsiaTheme="minorHAnsi"/>
      <w:szCs w:val="22"/>
    </w:rPr>
  </w:style>
  <w:style w:type="paragraph" w:customStyle="1" w:styleId="LegalNumPar3">
    <w:name w:val="LegalNumPar3"/>
    <w:basedOn w:val="Normal"/>
    <w:pPr>
      <w:numPr>
        <w:ilvl w:val="2"/>
        <w:numId w:val="27"/>
      </w:numPr>
      <w:spacing w:line="360" w:lineRule="auto"/>
      <w:jc w:val="left"/>
    </w:pPr>
    <w:rPr>
      <w:rFonts w:eastAsiaTheme="minorHAnsi"/>
      <w:szCs w:val="22"/>
    </w:rPr>
  </w:style>
  <w:style w:type="character" w:customStyle="1" w:styleId="FooterChar">
    <w:name w:val="Footer Char"/>
    <w:basedOn w:val="DefaultParagraphFont"/>
    <w:link w:val="Footer"/>
    <w:uiPriority w:val="99"/>
    <w:rsid w:val="00312820"/>
    <w:rPr>
      <w:rFonts w:ascii="Arial" w:hAnsi="Arial"/>
      <w:sz w:val="16"/>
      <w:lang w:eastAsia="en-US"/>
    </w:rPr>
  </w:style>
  <w:style w:type="paragraph" w:customStyle="1" w:styleId="ZCom">
    <w:name w:val="Z_Com"/>
    <w:basedOn w:val="Normal"/>
    <w:next w:val="ZDGName"/>
    <w:uiPriority w:val="99"/>
    <w:rsid w:val="00312820"/>
    <w:pPr>
      <w:widowControl w:val="0"/>
      <w:autoSpaceDE w:val="0"/>
      <w:autoSpaceDN w:val="0"/>
      <w:spacing w:after="0"/>
      <w:ind w:right="85"/>
    </w:pPr>
    <w:rPr>
      <w:rFonts w:ascii="Arial" w:eastAsiaTheme="minorEastAsia" w:hAnsi="Arial" w:cs="Arial"/>
      <w:szCs w:val="24"/>
      <w:lang w:eastAsia="en-GB"/>
    </w:rPr>
  </w:style>
  <w:style w:type="paragraph" w:customStyle="1" w:styleId="ZDGName">
    <w:name w:val="Z_DGName"/>
    <w:basedOn w:val="Normal"/>
    <w:uiPriority w:val="99"/>
    <w:rsid w:val="00312820"/>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312820"/>
    <w:rPr>
      <w:sz w:val="24"/>
      <w:lang w:eastAsia="en-US"/>
    </w:rPr>
  </w:style>
  <w:style w:type="character" w:styleId="Hyperlink">
    <w:name w:val="Hyperlink"/>
    <w:uiPriority w:val="99"/>
    <w:unhideWhenUsed/>
    <w:rsid w:val="00312820"/>
    <w:rPr>
      <w:color w:val="0000FF"/>
      <w:u w:val="single"/>
    </w:rPr>
  </w:style>
  <w:style w:type="character" w:customStyle="1" w:styleId="FootnoteTextChar">
    <w:name w:val="Footnote Text Char"/>
    <w:link w:val="FootnoteText"/>
    <w:uiPriority w:val="99"/>
    <w:rsid w:val="00312820"/>
    <w:rPr>
      <w:lang w:eastAsia="en-US"/>
    </w:rPr>
  </w:style>
  <w:style w:type="character" w:styleId="FootnoteReference">
    <w:name w:val="footnote reference"/>
    <w:uiPriority w:val="99"/>
    <w:semiHidden/>
    <w:unhideWhenUsed/>
    <w:rsid w:val="00312820"/>
    <w:rPr>
      <w:vertAlign w:val="superscript"/>
    </w:rPr>
  </w:style>
  <w:style w:type="character" w:styleId="CommentReference">
    <w:name w:val="annotation reference"/>
    <w:uiPriority w:val="99"/>
    <w:semiHidden/>
    <w:unhideWhenUsed/>
    <w:rsid w:val="00312820"/>
    <w:rPr>
      <w:sz w:val="16"/>
      <w:szCs w:val="16"/>
    </w:rPr>
  </w:style>
  <w:style w:type="character" w:customStyle="1" w:styleId="CommentTextChar">
    <w:name w:val="Comment Text Char"/>
    <w:link w:val="CommentText"/>
    <w:uiPriority w:val="99"/>
    <w:rsid w:val="00312820"/>
    <w:rPr>
      <w:lang w:eastAsia="en-US"/>
    </w:rPr>
  </w:style>
  <w:style w:type="paragraph" w:styleId="NoSpacing">
    <w:name w:val="No Spacing"/>
    <w:link w:val="NoSpacingChar"/>
    <w:uiPriority w:val="5"/>
    <w:qFormat/>
    <w:rsid w:val="00312820"/>
    <w:pPr>
      <w:spacing w:after="240"/>
      <w:jc w:val="both"/>
    </w:pPr>
    <w:rPr>
      <w:rFonts w:ascii="Calibri" w:eastAsia="Calibri" w:hAnsi="Calibri" w:cs="Arial"/>
      <w:sz w:val="22"/>
      <w:szCs w:val="22"/>
      <w:lang w:eastAsia="en-US"/>
    </w:rPr>
  </w:style>
  <w:style w:type="character" w:customStyle="1" w:styleId="NoSpacingChar">
    <w:name w:val="No Spacing Char"/>
    <w:link w:val="NoSpacing"/>
    <w:uiPriority w:val="5"/>
    <w:rsid w:val="00312820"/>
    <w:rPr>
      <w:rFonts w:ascii="Calibri" w:eastAsia="Calibri" w:hAnsi="Calibri" w:cs="Arial"/>
      <w:sz w:val="22"/>
      <w:szCs w:val="22"/>
      <w:lang w:eastAsia="en-US"/>
    </w:rPr>
  </w:style>
  <w:style w:type="character" w:customStyle="1" w:styleId="Heading2Char">
    <w:name w:val="Heading 2 Char"/>
    <w:link w:val="Heading2"/>
    <w:uiPriority w:val="9"/>
    <w:rsid w:val="00312820"/>
    <w:rPr>
      <w:b/>
      <w:sz w:val="24"/>
      <w:lang w:eastAsia="en-US"/>
    </w:rPr>
  </w:style>
  <w:style w:type="paragraph" w:styleId="ListParagraph">
    <w:name w:val="List Paragraph"/>
    <w:basedOn w:val="Normal"/>
    <w:uiPriority w:val="34"/>
    <w:qFormat/>
    <w:rsid w:val="00312820"/>
    <w:pPr>
      <w:spacing w:after="200" w:line="276" w:lineRule="auto"/>
      <w:ind w:left="720"/>
      <w:jc w:val="left"/>
    </w:pPr>
    <w:rPr>
      <w:rFonts w:ascii="Calibri" w:eastAsia="Calibri" w:hAnsi="Calibri"/>
      <w:sz w:val="22"/>
      <w:szCs w:val="22"/>
    </w:rPr>
  </w:style>
  <w:style w:type="character" w:customStyle="1" w:styleId="Heading3Char">
    <w:name w:val="Heading 3 Char"/>
    <w:basedOn w:val="DefaultParagraphFont"/>
    <w:link w:val="Heading3"/>
    <w:uiPriority w:val="9"/>
    <w:rsid w:val="00312820"/>
    <w:rPr>
      <w:i/>
      <w:sz w:val="24"/>
      <w:lang w:eastAsia="en-US"/>
    </w:rPr>
  </w:style>
  <w:style w:type="character" w:customStyle="1" w:styleId="Heading4Char">
    <w:name w:val="Heading 4 Char"/>
    <w:basedOn w:val="DefaultParagraphFont"/>
    <w:link w:val="Heading4"/>
    <w:uiPriority w:val="9"/>
    <w:rsid w:val="00312820"/>
    <w:rPr>
      <w:sz w:val="24"/>
      <w:lang w:eastAsia="en-US"/>
    </w:rPr>
  </w:style>
  <w:style w:type="paragraph" w:styleId="NormalWeb">
    <w:name w:val="Normal (Web)"/>
    <w:basedOn w:val="Normal"/>
    <w:uiPriority w:val="99"/>
    <w:unhideWhenUsed/>
    <w:rsid w:val="00312820"/>
    <w:pPr>
      <w:spacing w:before="100" w:beforeAutospacing="1" w:after="100" w:afterAutospacing="1"/>
      <w:jc w:val="left"/>
    </w:pPr>
    <w:rPr>
      <w:szCs w:val="24"/>
      <w:lang w:eastAsia="en-GB"/>
    </w:rPr>
  </w:style>
  <w:style w:type="paragraph" w:customStyle="1" w:styleId="Exposdesmotifstitre">
    <w:name w:val="Exposé des motifs titre"/>
    <w:basedOn w:val="Normal"/>
    <w:next w:val="Normal"/>
    <w:rsid w:val="00312820"/>
    <w:pPr>
      <w:spacing w:before="120" w:after="120"/>
      <w:jc w:val="center"/>
    </w:pPr>
    <w:rPr>
      <w:rFonts w:eastAsiaTheme="minorHAnsi"/>
      <w:b/>
      <w:szCs w:val="22"/>
      <w:u w:val="single"/>
    </w:rPr>
  </w:style>
  <w:style w:type="character" w:styleId="FollowedHyperlink">
    <w:name w:val="FollowedHyperlink"/>
    <w:basedOn w:val="DefaultParagraphFont"/>
    <w:uiPriority w:val="99"/>
    <w:semiHidden/>
    <w:unhideWhenUsed/>
    <w:rsid w:val="00312820"/>
    <w:rPr>
      <w:color w:val="800080" w:themeColor="followedHyperlink"/>
      <w:u w:val="single"/>
    </w:rPr>
  </w:style>
  <w:style w:type="paragraph" w:styleId="BalloonText">
    <w:name w:val="Balloon Text"/>
    <w:basedOn w:val="Normal"/>
    <w:link w:val="BalloonTextChar"/>
    <w:uiPriority w:val="99"/>
    <w:semiHidden/>
    <w:unhideWhenUsed/>
    <w:rsid w:val="0031282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82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8B2002"/>
    <w:rPr>
      <w:b/>
      <w:bCs/>
    </w:rPr>
  </w:style>
  <w:style w:type="character" w:customStyle="1" w:styleId="CommentSubjectChar">
    <w:name w:val="Comment Subject Char"/>
    <w:basedOn w:val="CommentTextChar"/>
    <w:link w:val="CommentSubject"/>
    <w:uiPriority w:val="99"/>
    <w:semiHidden/>
    <w:rsid w:val="008B2002"/>
    <w:rPr>
      <w:b/>
      <w:bCs/>
      <w:lang w:eastAsia="en-US"/>
    </w:rPr>
  </w:style>
  <w:style w:type="table" w:styleId="TableGrid">
    <w:name w:val="Table Grid"/>
    <w:basedOn w:val="TableNormal"/>
    <w:uiPriority w:val="59"/>
    <w:rsid w:val="003F7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sid w:val="00DB33C2"/>
    <w:rPr>
      <w:rFonts w:ascii="Arial" w:hAnsi="Arial"/>
      <w:sz w:val="24"/>
      <w:lang w:eastAsia="en-US"/>
    </w:rPr>
  </w:style>
  <w:style w:type="character" w:styleId="IntenseEmphasis">
    <w:name w:val="Intense Emphasis"/>
    <w:basedOn w:val="DefaultParagraphFont"/>
    <w:uiPriority w:val="21"/>
    <w:qFormat/>
    <w:rsid w:val="00DB33C2"/>
    <w:rPr>
      <w:b/>
      <w:bCs/>
      <w:i/>
      <w:iCs/>
      <w:color w:val="4F81BD" w:themeColor="accent1"/>
    </w:rPr>
  </w:style>
  <w:style w:type="paragraph" w:styleId="Revision">
    <w:name w:val="Revision"/>
    <w:hidden/>
    <w:uiPriority w:val="99"/>
    <w:semiHidden/>
    <w:rsid w:val="00276A7D"/>
    <w:rPr>
      <w:sz w:val="24"/>
      <w:lang w:eastAsia="en-US"/>
    </w:rPr>
  </w:style>
  <w:style w:type="paragraph" w:customStyle="1" w:styleId="Participants">
    <w:name w:val="Participants"/>
    <w:basedOn w:val="Normal"/>
    <w:next w:val="Normal"/>
    <w:rsid w:val="001F4F78"/>
    <w:pPr>
      <w:tabs>
        <w:tab w:val="left" w:pos="2552"/>
        <w:tab w:val="left" w:pos="2835"/>
        <w:tab w:val="left" w:pos="5670"/>
        <w:tab w:val="left" w:pos="6379"/>
        <w:tab w:val="left" w:pos="6804"/>
      </w:tabs>
      <w:spacing w:before="480" w:after="0"/>
      <w:ind w:left="1985" w:hanging="1985"/>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3096">
      <w:bodyDiv w:val="1"/>
      <w:marLeft w:val="0"/>
      <w:marRight w:val="0"/>
      <w:marTop w:val="0"/>
      <w:marBottom w:val="0"/>
      <w:divBdr>
        <w:top w:val="none" w:sz="0" w:space="0" w:color="auto"/>
        <w:left w:val="none" w:sz="0" w:space="0" w:color="auto"/>
        <w:bottom w:val="none" w:sz="0" w:space="0" w:color="auto"/>
        <w:right w:val="none" w:sz="0" w:space="0" w:color="auto"/>
      </w:divBdr>
    </w:div>
    <w:div w:id="292948282">
      <w:bodyDiv w:val="1"/>
      <w:marLeft w:val="0"/>
      <w:marRight w:val="0"/>
      <w:marTop w:val="0"/>
      <w:marBottom w:val="0"/>
      <w:divBdr>
        <w:top w:val="none" w:sz="0" w:space="0" w:color="auto"/>
        <w:left w:val="none" w:sz="0" w:space="0" w:color="auto"/>
        <w:bottom w:val="none" w:sz="0" w:space="0" w:color="auto"/>
        <w:right w:val="none" w:sz="0" w:space="0" w:color="auto"/>
      </w:divBdr>
    </w:div>
    <w:div w:id="634219143">
      <w:bodyDiv w:val="1"/>
      <w:marLeft w:val="0"/>
      <w:marRight w:val="0"/>
      <w:marTop w:val="0"/>
      <w:marBottom w:val="0"/>
      <w:divBdr>
        <w:top w:val="none" w:sz="0" w:space="0" w:color="auto"/>
        <w:left w:val="none" w:sz="0" w:space="0" w:color="auto"/>
        <w:bottom w:val="none" w:sz="0" w:space="0" w:color="auto"/>
        <w:right w:val="none" w:sz="0" w:space="0" w:color="auto"/>
      </w:divBdr>
    </w:div>
    <w:div w:id="643656068">
      <w:bodyDiv w:val="1"/>
      <w:marLeft w:val="0"/>
      <w:marRight w:val="0"/>
      <w:marTop w:val="0"/>
      <w:marBottom w:val="0"/>
      <w:divBdr>
        <w:top w:val="none" w:sz="0" w:space="0" w:color="auto"/>
        <w:left w:val="none" w:sz="0" w:space="0" w:color="auto"/>
        <w:bottom w:val="none" w:sz="0" w:space="0" w:color="auto"/>
        <w:right w:val="none" w:sz="0" w:space="0" w:color="auto"/>
      </w:divBdr>
    </w:div>
    <w:div w:id="663633120">
      <w:bodyDiv w:val="1"/>
      <w:marLeft w:val="0"/>
      <w:marRight w:val="0"/>
      <w:marTop w:val="0"/>
      <w:marBottom w:val="0"/>
      <w:divBdr>
        <w:top w:val="none" w:sz="0" w:space="0" w:color="auto"/>
        <w:left w:val="none" w:sz="0" w:space="0" w:color="auto"/>
        <w:bottom w:val="none" w:sz="0" w:space="0" w:color="auto"/>
        <w:right w:val="none" w:sz="0" w:space="0" w:color="auto"/>
      </w:divBdr>
    </w:div>
    <w:div w:id="776215948">
      <w:bodyDiv w:val="1"/>
      <w:marLeft w:val="0"/>
      <w:marRight w:val="0"/>
      <w:marTop w:val="0"/>
      <w:marBottom w:val="0"/>
      <w:divBdr>
        <w:top w:val="none" w:sz="0" w:space="0" w:color="auto"/>
        <w:left w:val="none" w:sz="0" w:space="0" w:color="auto"/>
        <w:bottom w:val="none" w:sz="0" w:space="0" w:color="auto"/>
        <w:right w:val="none" w:sz="0" w:space="0" w:color="auto"/>
      </w:divBdr>
    </w:div>
    <w:div w:id="781532627">
      <w:bodyDiv w:val="1"/>
      <w:marLeft w:val="0"/>
      <w:marRight w:val="0"/>
      <w:marTop w:val="0"/>
      <w:marBottom w:val="0"/>
      <w:divBdr>
        <w:top w:val="none" w:sz="0" w:space="0" w:color="auto"/>
        <w:left w:val="none" w:sz="0" w:space="0" w:color="auto"/>
        <w:bottom w:val="none" w:sz="0" w:space="0" w:color="auto"/>
        <w:right w:val="none" w:sz="0" w:space="0" w:color="auto"/>
      </w:divBdr>
    </w:div>
    <w:div w:id="875968102">
      <w:bodyDiv w:val="1"/>
      <w:marLeft w:val="0"/>
      <w:marRight w:val="0"/>
      <w:marTop w:val="0"/>
      <w:marBottom w:val="0"/>
      <w:divBdr>
        <w:top w:val="none" w:sz="0" w:space="0" w:color="auto"/>
        <w:left w:val="none" w:sz="0" w:space="0" w:color="auto"/>
        <w:bottom w:val="none" w:sz="0" w:space="0" w:color="auto"/>
        <w:right w:val="none" w:sz="0" w:space="0" w:color="auto"/>
      </w:divBdr>
    </w:div>
    <w:div w:id="1068572769">
      <w:bodyDiv w:val="1"/>
      <w:marLeft w:val="0"/>
      <w:marRight w:val="0"/>
      <w:marTop w:val="0"/>
      <w:marBottom w:val="0"/>
      <w:divBdr>
        <w:top w:val="none" w:sz="0" w:space="0" w:color="auto"/>
        <w:left w:val="none" w:sz="0" w:space="0" w:color="auto"/>
        <w:bottom w:val="none" w:sz="0" w:space="0" w:color="auto"/>
        <w:right w:val="none" w:sz="0" w:space="0" w:color="auto"/>
      </w:divBdr>
    </w:div>
    <w:div w:id="1074625023">
      <w:bodyDiv w:val="1"/>
      <w:marLeft w:val="0"/>
      <w:marRight w:val="0"/>
      <w:marTop w:val="0"/>
      <w:marBottom w:val="0"/>
      <w:divBdr>
        <w:top w:val="none" w:sz="0" w:space="0" w:color="auto"/>
        <w:left w:val="none" w:sz="0" w:space="0" w:color="auto"/>
        <w:bottom w:val="none" w:sz="0" w:space="0" w:color="auto"/>
        <w:right w:val="none" w:sz="0" w:space="0" w:color="auto"/>
      </w:divBdr>
    </w:div>
    <w:div w:id="1083455352">
      <w:bodyDiv w:val="1"/>
      <w:marLeft w:val="0"/>
      <w:marRight w:val="0"/>
      <w:marTop w:val="0"/>
      <w:marBottom w:val="0"/>
      <w:divBdr>
        <w:top w:val="none" w:sz="0" w:space="0" w:color="auto"/>
        <w:left w:val="none" w:sz="0" w:space="0" w:color="auto"/>
        <w:bottom w:val="none" w:sz="0" w:space="0" w:color="auto"/>
        <w:right w:val="none" w:sz="0" w:space="0" w:color="auto"/>
      </w:divBdr>
    </w:div>
    <w:div w:id="1187403200">
      <w:bodyDiv w:val="1"/>
      <w:marLeft w:val="0"/>
      <w:marRight w:val="0"/>
      <w:marTop w:val="0"/>
      <w:marBottom w:val="0"/>
      <w:divBdr>
        <w:top w:val="none" w:sz="0" w:space="0" w:color="auto"/>
        <w:left w:val="none" w:sz="0" w:space="0" w:color="auto"/>
        <w:bottom w:val="none" w:sz="0" w:space="0" w:color="auto"/>
        <w:right w:val="none" w:sz="0" w:space="0" w:color="auto"/>
      </w:divBdr>
    </w:div>
    <w:div w:id="1422601620">
      <w:bodyDiv w:val="1"/>
      <w:marLeft w:val="0"/>
      <w:marRight w:val="0"/>
      <w:marTop w:val="0"/>
      <w:marBottom w:val="0"/>
      <w:divBdr>
        <w:top w:val="none" w:sz="0" w:space="0" w:color="auto"/>
        <w:left w:val="none" w:sz="0" w:space="0" w:color="auto"/>
        <w:bottom w:val="none" w:sz="0" w:space="0" w:color="auto"/>
        <w:right w:val="none" w:sz="0" w:space="0" w:color="auto"/>
      </w:divBdr>
    </w:div>
    <w:div w:id="1497067800">
      <w:bodyDiv w:val="1"/>
      <w:marLeft w:val="0"/>
      <w:marRight w:val="0"/>
      <w:marTop w:val="0"/>
      <w:marBottom w:val="0"/>
      <w:divBdr>
        <w:top w:val="none" w:sz="0" w:space="0" w:color="auto"/>
        <w:left w:val="none" w:sz="0" w:space="0" w:color="auto"/>
        <w:bottom w:val="none" w:sz="0" w:space="0" w:color="auto"/>
        <w:right w:val="none" w:sz="0" w:space="0" w:color="auto"/>
      </w:divBdr>
    </w:div>
    <w:div w:id="1562323206">
      <w:bodyDiv w:val="1"/>
      <w:marLeft w:val="0"/>
      <w:marRight w:val="0"/>
      <w:marTop w:val="0"/>
      <w:marBottom w:val="0"/>
      <w:divBdr>
        <w:top w:val="none" w:sz="0" w:space="0" w:color="auto"/>
        <w:left w:val="none" w:sz="0" w:space="0" w:color="auto"/>
        <w:bottom w:val="none" w:sz="0" w:space="0" w:color="auto"/>
        <w:right w:val="none" w:sz="0" w:space="0" w:color="auto"/>
      </w:divBdr>
    </w:div>
    <w:div w:id="1569879517">
      <w:bodyDiv w:val="1"/>
      <w:marLeft w:val="0"/>
      <w:marRight w:val="0"/>
      <w:marTop w:val="0"/>
      <w:marBottom w:val="0"/>
      <w:divBdr>
        <w:top w:val="none" w:sz="0" w:space="0" w:color="auto"/>
        <w:left w:val="none" w:sz="0" w:space="0" w:color="auto"/>
        <w:bottom w:val="none" w:sz="0" w:space="0" w:color="auto"/>
        <w:right w:val="none" w:sz="0" w:space="0" w:color="auto"/>
      </w:divBdr>
    </w:div>
    <w:div w:id="1789006545">
      <w:bodyDiv w:val="1"/>
      <w:marLeft w:val="0"/>
      <w:marRight w:val="0"/>
      <w:marTop w:val="0"/>
      <w:marBottom w:val="0"/>
      <w:divBdr>
        <w:top w:val="none" w:sz="0" w:space="0" w:color="auto"/>
        <w:left w:val="none" w:sz="0" w:space="0" w:color="auto"/>
        <w:bottom w:val="none" w:sz="0" w:space="0" w:color="auto"/>
        <w:right w:val="none" w:sz="0" w:space="0" w:color="auto"/>
      </w:divBdr>
      <w:divsChild>
        <w:div w:id="156269202">
          <w:marLeft w:val="547"/>
          <w:marRight w:val="0"/>
          <w:marTop w:val="134"/>
          <w:marBottom w:val="0"/>
          <w:divBdr>
            <w:top w:val="none" w:sz="0" w:space="0" w:color="auto"/>
            <w:left w:val="none" w:sz="0" w:space="0" w:color="auto"/>
            <w:bottom w:val="none" w:sz="0" w:space="0" w:color="auto"/>
            <w:right w:val="none" w:sz="0" w:space="0" w:color="auto"/>
          </w:divBdr>
        </w:div>
      </w:divsChild>
    </w:div>
    <w:div w:id="1906377278">
      <w:bodyDiv w:val="1"/>
      <w:marLeft w:val="0"/>
      <w:marRight w:val="0"/>
      <w:marTop w:val="0"/>
      <w:marBottom w:val="0"/>
      <w:divBdr>
        <w:top w:val="none" w:sz="0" w:space="0" w:color="auto"/>
        <w:left w:val="none" w:sz="0" w:space="0" w:color="auto"/>
        <w:bottom w:val="none" w:sz="0" w:space="0" w:color="auto"/>
        <w:right w:val="none" w:sz="0" w:space="0" w:color="auto"/>
      </w:divBdr>
    </w:div>
    <w:div w:id="2004579552">
      <w:bodyDiv w:val="1"/>
      <w:marLeft w:val="0"/>
      <w:marRight w:val="0"/>
      <w:marTop w:val="0"/>
      <w:marBottom w:val="0"/>
      <w:divBdr>
        <w:top w:val="none" w:sz="0" w:space="0" w:color="auto"/>
        <w:left w:val="none" w:sz="0" w:space="0" w:color="auto"/>
        <w:bottom w:val="none" w:sz="0" w:space="0" w:color="auto"/>
        <w:right w:val="none" w:sz="0" w:space="0" w:color="auto"/>
      </w:divBdr>
    </w:div>
    <w:div w:id="209080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c.europa.eu/growth/tools-databases/newsroom/cf/itemdetail.cfm?item_id=8997" TargetMode="External"/><Relationship Id="rId18" Type="http://schemas.openxmlformats.org/officeDocument/2006/relationships/hyperlink" Target="https://github.com/eForms/eForms/blob/master/README.md"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eur-lex.europa.eu/legal-content/EN/TXT/?uri=uriserv:OJ.L_.2015.296.01.0001.01.ENG" TargetMode="External"/><Relationship Id="rId17" Type="http://schemas.openxmlformats.org/officeDocument/2006/relationships/hyperlink" Target="https://github.com/eForms/eForms/blob/master/README.m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eForms/eForms/blob/master/README.m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c.europa.eu/info/law/better-regulation/initiatives_e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Forms/eForms/blob/master/README.md"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ecd.org/competition/cartels/42594486.pdf" TargetMode="External"/><Relationship Id="rId2" Type="http://schemas.openxmlformats.org/officeDocument/2006/relationships/hyperlink" Target="https://data.europa.eu/euodp/en/data" TargetMode="External"/><Relationship Id="rId1" Type="http://schemas.openxmlformats.org/officeDocument/2006/relationships/hyperlink" Target="http://eur-lex.europa.eu/legal-content/EN/TXT/?uri=COM%3A2015%3A550%3AF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EurolookProperties>
  <Created>
    <Version>4.6</Version>
    <Date>2019-01-07T14:08:56</Date>
    <Language>EN</Language>
  </Created>
  <Edited>
    <Version>10.0.37613.0</Version>
    <Date>2019-01-28T09:58:53</Date>
  </Edited>
  <DocumentModel>
    <Id>6cbda13a-4db2-46c6-876a-ef72275827ef</Id>
    <Name>Report</Name>
  </DocumentModel>
  <DocumentDate/>
  <DocumentVersion/>
  <CompatibilityMode>Eurolook4x</CompatibilityMode>
  <Address/>
</EurolookProperties>
</file>

<file path=customXml/item2.xml><?xml version="1.0" encoding="utf-8"?>
<Author Role="Creator">
  <Id>4b86d3d8-cbe5-497b-830d-59620418f0a5</Id>
  <Names>
    <Latin>
      <FirstName>Jachym</FirstName>
      <LastName>HERCHER</LastName>
    </Latin>
    <Greek>
      <FirstName/>
      <LastName/>
    </Greek>
    <Cyrillic>
      <FirstName/>
      <LastName/>
    </Cyrillic>
    <DocumentScript>
      <FirstName>Jachym</FirstName>
      <LastName>HERCHER</LastName>
      <FullName>Jachym HERCHER</FullName>
    </DocumentScript>
  </Names>
  <Initials>JH</Initials>
  <Gender>m</Gender>
  <Email>Jachym.HERCHER@ec.europa.eu</Email>
  <Service>GROW.G.4</Service>
  <Function ShowInSignature="true"/>
  <WebAddress/>
  <InheritedWebAddress>WebAddress</InheritedWebAddress>
  <OrgaEntity1>
    <Id>10e4c4ea-a7d8-4b9b-8851-f5da0d664898</Id>
    <LogicalLevel>1</LogicalLevel>
    <Name>GROW</Name>
    <HeadLine1>DIRECTORATE-GENERAL FOR INTERNAL MARKET, INDUSTRY, ENTREPRENEURSHIP</HeadLine1>
    <HeadLine2>AND SMES</HeadLine2>
    <PrimaryAddressId>f03b5801-04c9-4931-aa17-c6d6c70bc579</PrimaryAddressId>
    <SecondaryAddressId/>
    <WebAddress>WebAddress</WebAddress>
    <InheritedWebAddress>WebAddress</InheritedWebAddress>
    <ShowInHeader>true</ShowInHeader>
  </OrgaEntity1>
  <OrgaEntity2>
    <Id>ebaf69ac-d1a6-4da5-b3f6-031833b8e7bb</Id>
    <LogicalLevel>2</LogicalLevel>
    <Name>GROW.G</Name>
    <HeadLine1>Single Market for Public Administrations</HeadLine1>
    <HeadLine2/>
    <PrimaryAddressId>f03b5801-04c9-4931-aa17-c6d6c70bc579</PrimaryAddressId>
    <SecondaryAddressId/>
    <WebAddress/>
    <InheritedWebAddress>WebAddress</InheritedWebAddress>
    <ShowInHeader>true</ShowInHeader>
  </OrgaEntity2>
  <OrgaEntity3>
    <Id>4404eccc-7a4c-40d7-a15c-ab0a4a66da23</Id>
    <LogicalLevel>3</LogicalLevel>
    <Name>GROW.G.4</Name>
    <HeadLine1>Innovative and e-procurement</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+32 229 90285</Phone>
    <Office>N105 06/020</Office>
  </MainWorkplace>
  <Workplaces>
    <Workplace IsMain="false">
      <AddressId>1264fb81-f6bb-475e-9f9d-a937d3be6ee2</AddressId>
      <Fax/>
      <Phone/>
      <Office/>
    </Workplace>
    <Workplace IsMain="true">
      <AddressId>f03b5801-04c9-4931-aa17-c6d6c70bc579</AddressId>
      <Fax/>
      <Phone>+32 229 90285</Phone>
      <Office>N105 06/020</Office>
    </Workplace>
  </Workplaces>
</Author>
</file>

<file path=customXml/item3.xml><?xml version="1.0" encoding="utf-8"?>
<Texts>
  <SecurityPersonalData>Personal data</SecurityPersonalData>
  <SecurityLimitedDG>Limited</SecurityLimitedDG>
  <SecurityPharma>Pharma investigations</SecurityPharma>
  <LabelPictureSeq>Picture {SEQ Picture \* ARABIC } – </LabelPictureSeq>
  <SecurityMediationServiceMatter>Mediation Service matter</SecurityMediationServiceMatter>
  <SecurityDeadline>Deadline</SecurityDeadline>
  <SecurityEconomyAndFinance>Economy and finance – special handling</SecurityEconomyAndFinance>
  <FooterFax>Fax</FooterFax>
  <FooterOffice>Office:</FooterOffice>
  <SecurityOlafInvestigations>OLAF investigations</SecurityOlafInvestigations>
  <TechHistory>Document History</TechHistory>
  <SecurityInternal>Commission internal</SecurityInternal>
  <SecurityOlafSpecialHandling>OLAF investigations – special handling</SecurityOlafSpecialHandling>
  <SecurityPersonal>Personal</SecurityPersonal>
  <CourtProceduralDocuments>Court procedural documents</CourtProceduralDocuments>
  <SecurityCompOperationsHandling>Handling instructions are provided by the DG COMP (comp-lso@ec.europa.eu)</SecurityCompOperationsHandling>
  <OrgaRoot>EUROPEAN COMMISSION</OrgaRoot>
  <TechHistoryComment>Comment</TechHistoryComment>
  <Contact>Contact:</Contact>
  <SecurityInvestigationsDisciplinary>Investigations and disciplinary matters</SecurityInvestigationsDisciplinary>
  <SecurityCompOperations>COMP operations</SecurityCompOperations>
  <SecurityEuSatellite>EU satellite navigation matters</SecurityEuSatellite>
  <SecurityReleasable>RELEASABLE TO [...]</SecurityReleasable>
  <AddresseeTo>To:</AddresseeTo>
  <SecurityEtsLimited>ETS limited</SecurityEtsLimited>
  <SecurityStaffMatter>Staff matter</SecurityStaffMatter>
  <SecurityOpinionLegalService>Opinion of the Legal Service</SecurityOpinionLegalService>
  <SecurityEtsSensitive>ETS sensitive</SecurityEtsSensitive>
  <SecurityEtsCritical>ETS critical</SecurityEtsCritical>
  <SecurityCompSpecial>COMP - special handling</SecurityCompSpecial>
  <LabelSource>Source</LabelSource>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TechHistoryDate>Date</TechHistoryDate>
  <AddressFooterBrussels>Commission européenne/Europese Commissie, 1049 Bruxelles/Brussel, BELGIQUE/BELGIË — Tel. +32 22991111</AddressFooterBrussels>
  <SecurityIasOperations>IAS operations</SecurityIasOperations>
  <TechHistoryCreatedBy>Document created by</TechHistoryCreatedBy>
  <FooterPhone>Tel. direct line</FooterPhone>
  <SecuritySecurityMatter>Security matter</SecuritySecurityMatter>
  <SecurityPersonalDataHandling>Shall only be communicated on a need to know basis pursuant to Regulation (EC) No 45/2001. Where e-mail is used, this must be encrypted using SECEM.</SecurityPersonalDataHandling>
  <SecurityLimitedServiceUnitGroup>Limited</SecurityLimitedServiceUnitGroup>
  <TechHistoryVersion>Version</TechHistoryVersion>
  <SecurityMedicalSecret>Medical secret</SecurityMedicalSecret>
  <Contacts>Contacts:</Contacts>
  <SecurityEmbargo>Embargo until</SecurityEmbargo>
  <SecurityLimited>Limited</SecurityLimited>
  <DateFormatShort>dd/MM/yyyy</DateFormatShort>
  <DateFormatLong>d MMMM yyyy</DateFormatLong>
</Text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30439-5794-4799-9C22-2E67C3B79309}">
  <ds:schemaRefs/>
</ds:datastoreItem>
</file>

<file path=customXml/itemProps2.xml><?xml version="1.0" encoding="utf-8"?>
<ds:datastoreItem xmlns:ds="http://schemas.openxmlformats.org/officeDocument/2006/customXml" ds:itemID="{13207E0F-BA7C-4333-91FE-08D02DE0174D}">
  <ds:schemaRefs/>
</ds:datastoreItem>
</file>

<file path=customXml/itemProps3.xml><?xml version="1.0" encoding="utf-8"?>
<ds:datastoreItem xmlns:ds="http://schemas.openxmlformats.org/officeDocument/2006/customXml" ds:itemID="{24570EFD-9927-41FE-BF86-34E7BE63EF35}">
  <ds:schemaRefs/>
</ds:datastoreItem>
</file>

<file path=customXml/itemProps4.xml><?xml version="1.0" encoding="utf-8"?>
<ds:datastoreItem xmlns:ds="http://schemas.openxmlformats.org/officeDocument/2006/customXml" ds:itemID="{9BA27186-4586-4828-B9EC-F9C44542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81</TotalTime>
  <Pages>15</Pages>
  <Words>4219</Words>
  <Characters>24054</Characters>
  <Application>Microsoft Office Word</Application>
  <DocSecurity>0</DocSecurity>
  <PresentationFormat>Microsoft Word 14.0</PresentationFormat>
  <Lines>200</Lines>
  <Paragraphs>56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Stampa</dc:creator>
  <cp:keywords>EL4</cp:keywords>
  <dc:description/>
  <cp:lastModifiedBy>HERCHER Jachym (GROW)</cp:lastModifiedBy>
  <cp:revision>30</cp:revision>
  <dcterms:created xsi:type="dcterms:W3CDTF">2019-01-25T17:50:00Z</dcterms:created>
  <dcterms:modified xsi:type="dcterms:W3CDTF">2019-02-11T10:50:00Z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rep.dot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Nikita Stampa</vt:lpwstr>
  </property>
  <property fmtid="{D5CDD505-2E9C-101B-9397-08002B2CF9AE}" pid="10" name="Type">
    <vt:lpwstr>Eurolook Report</vt:lpwstr>
  </property>
  <property fmtid="{D5CDD505-2E9C-101B-9397-08002B2CF9AE}" pid="11" name="Language">
    <vt:lpwstr>EN</vt:lpwstr>
  </property>
  <property fmtid="{D5CDD505-2E9C-101B-9397-08002B2CF9AE}" pid="12" name="EL_Language">
    <vt:lpwstr>EN</vt:lpwstr>
  </property>
</Properties>
</file>