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0BB" w:rsidRDefault="00CE433F" w:rsidP="006340BB">
      <w:pPr>
        <w:pStyle w:val="Pagedecouvertur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3A06C79-18FA-4E0D-8A54-EA324001407E" style="width:449.9pt;height:383.7pt">
            <v:imagedata r:id="rId8" o:title=""/>
          </v:shape>
        </w:pict>
      </w:r>
    </w:p>
    <w:p w:rsidR="006340BB" w:rsidRDefault="006340BB" w:rsidP="006340BB">
      <w:pPr>
        <w:sectPr w:rsidR="006340BB" w:rsidSect="000F5B4A">
          <w:footerReference w:type="default" r:id="rId9"/>
          <w:pgSz w:w="11907" w:h="16839"/>
          <w:pgMar w:top="1134" w:right="1417" w:bottom="1134" w:left="1417" w:header="709" w:footer="709" w:gutter="0"/>
          <w:pgNumType w:start="0"/>
          <w:cols w:space="720"/>
          <w:docGrid w:linePitch="360"/>
        </w:sectPr>
      </w:pPr>
    </w:p>
    <w:p w:rsidR="006340BB" w:rsidRDefault="006340BB" w:rsidP="006340BB">
      <w:pPr>
        <w:pStyle w:val="Annexetitre"/>
      </w:pPr>
      <w:r w:rsidRPr="006340BB">
        <w:lastRenderedPageBreak/>
        <w:t xml:space="preserve">ANNEX </w:t>
      </w:r>
    </w:p>
    <w:p w:rsidR="006340BB" w:rsidRPr="000B32EA" w:rsidRDefault="006340BB" w:rsidP="006340BB">
      <w:pPr>
        <w:pStyle w:val="ManualHeading1"/>
        <w:spacing w:before="0"/>
        <w:rPr>
          <w:lang w:val="en-IE"/>
        </w:rPr>
      </w:pPr>
      <w:r w:rsidRPr="000B32EA">
        <w:rPr>
          <w:lang w:val="en-IE"/>
        </w:rPr>
        <w:t>Table 1</w:t>
      </w:r>
    </w:p>
    <w:p w:rsidR="006340BB" w:rsidRDefault="006340BB" w:rsidP="006340BB">
      <w:pPr>
        <w:rPr>
          <w:lang w:val="en-IE"/>
        </w:rPr>
      </w:pPr>
      <w:r w:rsidRPr="000B32EA">
        <w:rPr>
          <w:lang w:val="en-IE"/>
        </w:rPr>
        <w:t>The standard forms in column 1 shall contain the fields referred to in column 2 (and listed in Table 2)</w:t>
      </w:r>
      <w:r>
        <w:rPr>
          <w:lang w:val="en-IE"/>
        </w:rPr>
        <w:t xml:space="preserve"> when used for the publication of notices referred to in column 3</w:t>
      </w:r>
      <w:r w:rsidRPr="000B32EA">
        <w:rPr>
          <w:lang w:val="en-IE"/>
        </w:rPr>
        <w:t>.</w:t>
      </w:r>
      <w:r>
        <w:rPr>
          <w:lang w:val="en-IE"/>
        </w:rPr>
        <w:t xml:space="preserve"> </w:t>
      </w:r>
      <w:r w:rsidRPr="000B32EA">
        <w:rPr>
          <w:lang w:val="en-IE"/>
        </w:rPr>
        <w:t xml:space="preserve">For </w:t>
      </w:r>
      <w:r>
        <w:rPr>
          <w:lang w:val="en-IE"/>
        </w:rPr>
        <w:t xml:space="preserve">better </w:t>
      </w:r>
      <w:r w:rsidRPr="000B32EA">
        <w:rPr>
          <w:lang w:val="en-IE"/>
        </w:rPr>
        <w:t>readability, column 4 contains descriptions of column 3.</w:t>
      </w:r>
      <w:r>
        <w:rPr>
          <w:lang w:val="en-IE"/>
        </w:rPr>
        <w:t xml:space="preserve"> In addition, any notice may contain fields from the European Single Procurement Document established by the </w:t>
      </w:r>
      <w:r w:rsidRPr="004918A8">
        <w:rPr>
          <w:lang w:val="en-IE"/>
        </w:rPr>
        <w:t>Commission Implementing Regulation (EU) 2016/7</w:t>
      </w:r>
      <w:r>
        <w:rPr>
          <w:rStyle w:val="FootnoteReference"/>
          <w:lang w:val="en-IE"/>
        </w:rPr>
        <w:footnoteReference w:id="1"/>
      </w:r>
      <w:r>
        <w:rPr>
          <w:lang w:val="en-IE"/>
        </w:rPr>
        <w:t xml:space="preserve">. </w:t>
      </w:r>
    </w:p>
    <w:p w:rsidR="006340BB" w:rsidRPr="000B32EA" w:rsidRDefault="006340BB" w:rsidP="006340BB">
      <w:pPr>
        <w:pStyle w:val="Caption"/>
        <w:keepNext/>
        <w:spacing w:after="0"/>
        <w:rPr>
          <w:color w:val="auto"/>
          <w:lang w:val="en-IE"/>
        </w:rPr>
      </w:pPr>
      <w:r w:rsidRPr="000B32EA">
        <w:rPr>
          <w:color w:val="auto"/>
          <w:lang w:val="en-IE"/>
        </w:rPr>
        <w:t xml:space="preserve">Table </w:t>
      </w:r>
      <w:r w:rsidRPr="000B32EA">
        <w:rPr>
          <w:color w:val="auto"/>
          <w:lang w:val="en-IE"/>
        </w:rPr>
        <w:fldChar w:fldCharType="begin"/>
      </w:r>
      <w:r w:rsidRPr="000B32EA">
        <w:rPr>
          <w:color w:val="auto"/>
          <w:lang w:val="en-IE"/>
        </w:rPr>
        <w:instrText xml:space="preserve"> SEQ Table \* ARABIC </w:instrText>
      </w:r>
      <w:r w:rsidRPr="000B32EA">
        <w:rPr>
          <w:color w:val="auto"/>
          <w:lang w:val="en-IE"/>
        </w:rPr>
        <w:fldChar w:fldCharType="separate"/>
      </w:r>
      <w:r w:rsidR="000F5B4A">
        <w:rPr>
          <w:noProof/>
          <w:color w:val="auto"/>
          <w:lang w:val="en-IE"/>
        </w:rPr>
        <w:t>1</w:t>
      </w:r>
      <w:r w:rsidRPr="000B32EA">
        <w:rPr>
          <w:color w:val="auto"/>
          <w:lang w:val="en-IE"/>
        </w:rPr>
        <w:fldChar w:fldCharType="end"/>
      </w:r>
      <w:r w:rsidRPr="000B32EA">
        <w:rPr>
          <w:color w:val="auto"/>
          <w:lang w:val="en-IE"/>
        </w:rPr>
        <w:t xml:space="preserve"> - Forms, notices &amp; fields</w:t>
      </w:r>
    </w:p>
    <w:tbl>
      <w:tblPr>
        <w:tblStyle w:val="TableGrid"/>
        <w:tblW w:w="4937" w:type="pct"/>
        <w:tblInd w:w="108" w:type="dxa"/>
        <w:tblLayout w:type="fixed"/>
        <w:tblLook w:val="04A0" w:firstRow="1" w:lastRow="0" w:firstColumn="1" w:lastColumn="0" w:noHBand="0" w:noVBand="1"/>
      </w:tblPr>
      <w:tblGrid>
        <w:gridCol w:w="2307"/>
        <w:gridCol w:w="2517"/>
        <w:gridCol w:w="4678"/>
        <w:gridCol w:w="5099"/>
      </w:tblGrid>
      <w:tr w:rsidR="006340BB" w:rsidRPr="000B32EA" w:rsidTr="00632FD5">
        <w:trPr>
          <w:trHeight w:val="283"/>
        </w:trPr>
        <w:tc>
          <w:tcPr>
            <w:tcW w:w="790" w:type="pct"/>
            <w:shd w:val="clear" w:color="auto" w:fill="EEECE1" w:themeFill="background2"/>
            <w:noWrap/>
            <w:vAlign w:val="center"/>
          </w:tcPr>
          <w:p w:rsidR="006340BB" w:rsidRPr="000B32EA" w:rsidRDefault="006340BB" w:rsidP="00632FD5">
            <w:pPr>
              <w:spacing w:before="0" w:after="0"/>
              <w:jc w:val="center"/>
              <w:rPr>
                <w:rFonts w:eastAsia="Times New Roman"/>
                <w:color w:val="000000"/>
                <w:sz w:val="16"/>
                <w:szCs w:val="16"/>
                <w:lang w:val="en-IE" w:eastAsia="en-GB"/>
              </w:rPr>
            </w:pPr>
            <w:r w:rsidRPr="000B32EA">
              <w:rPr>
                <w:rFonts w:eastAsia="Times New Roman"/>
                <w:color w:val="000000"/>
                <w:sz w:val="16"/>
                <w:szCs w:val="16"/>
                <w:lang w:val="en-IE" w:eastAsia="en-GB"/>
              </w:rPr>
              <w:t>The standard form:</w:t>
            </w:r>
          </w:p>
        </w:tc>
        <w:tc>
          <w:tcPr>
            <w:tcW w:w="862" w:type="pct"/>
            <w:shd w:val="clear" w:color="auto" w:fill="EEECE1" w:themeFill="background2"/>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shall contain the fields listed in:</w:t>
            </w:r>
          </w:p>
        </w:tc>
        <w:tc>
          <w:tcPr>
            <w:tcW w:w="1602" w:type="pct"/>
            <w:shd w:val="clear" w:color="auto" w:fill="EEECE1" w:themeFill="background2"/>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when used for the for publication of notices referred to in:</w:t>
            </w:r>
          </w:p>
        </w:tc>
        <w:tc>
          <w:tcPr>
            <w:tcW w:w="1746" w:type="pct"/>
            <w:shd w:val="clear" w:color="auto" w:fill="EEECE1" w:themeFill="background2"/>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(Notice description)</w:t>
            </w:r>
          </w:p>
        </w:tc>
      </w:tr>
      <w:tr w:rsidR="006340BB" w:rsidRPr="000B32EA" w:rsidTr="00632FD5">
        <w:trPr>
          <w:trHeight w:val="283"/>
        </w:trPr>
        <w:tc>
          <w:tcPr>
            <w:tcW w:w="790" w:type="pct"/>
            <w:vMerge w:val="restart"/>
            <w:noWrap/>
            <w:vAlign w:val="center"/>
            <w:hideMark/>
          </w:tcPr>
          <w:p w:rsidR="006340BB" w:rsidRPr="000B32EA" w:rsidRDefault="006340BB" w:rsidP="00632FD5">
            <w:pPr>
              <w:spacing w:before="0" w:after="0"/>
              <w:jc w:val="left"/>
              <w:rPr>
                <w:rFonts w:eastAsia="Times New Roman"/>
                <w:color w:val="000000"/>
                <w:sz w:val="16"/>
                <w:szCs w:val="16"/>
                <w:lang w:val="en-IE" w:eastAsia="en-GB"/>
              </w:rPr>
            </w:pPr>
            <w:r w:rsidRPr="000B32EA">
              <w:rPr>
                <w:rFonts w:eastAsia="Times New Roman"/>
                <w:color w:val="000000"/>
                <w:sz w:val="16"/>
                <w:szCs w:val="16"/>
                <w:lang w:val="en-IE" w:eastAsia="en-GB"/>
              </w:rPr>
              <w:t>Planning</w:t>
            </w: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48(1)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Notice of the publication of a prior information notice on a buyer profile </w:t>
            </w:r>
            <w:r w:rsidRPr="000B32EA">
              <w:rPr>
                <w:rFonts w:ascii="Calibri" w:hAnsi="Calibri"/>
                <w:color w:val="000000"/>
                <w:sz w:val="16"/>
                <w:szCs w:val="16"/>
                <w:lang w:val="en-IE"/>
              </w:rPr>
              <w:br/>
              <w:t>– general directive</w:t>
            </w:r>
          </w:p>
        </w:tc>
      </w:tr>
      <w:tr w:rsidR="006340BB" w:rsidRPr="000B32EA" w:rsidTr="00632FD5">
        <w:trPr>
          <w:trHeight w:val="283"/>
        </w:trPr>
        <w:tc>
          <w:tcPr>
            <w:tcW w:w="790" w:type="pct"/>
            <w:vMerge/>
            <w:noWrap/>
            <w:vAlign w:val="center"/>
            <w:hideMark/>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2</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67(1)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Notice of the publication of a periodic indicative notice on a buyer profile </w:t>
            </w:r>
            <w:r w:rsidRPr="000B32EA">
              <w:rPr>
                <w:rFonts w:ascii="Calibri" w:hAnsi="Calibri"/>
                <w:color w:val="000000"/>
                <w:sz w:val="16"/>
                <w:szCs w:val="16"/>
                <w:lang w:val="en-IE"/>
              </w:rPr>
              <w:br/>
              <w:t>– sectoral directive</w:t>
            </w:r>
          </w:p>
        </w:tc>
      </w:tr>
      <w:tr w:rsidR="006340BB" w:rsidRPr="000B32EA" w:rsidTr="00632FD5">
        <w:trPr>
          <w:trHeight w:val="283"/>
        </w:trPr>
        <w:tc>
          <w:tcPr>
            <w:tcW w:w="790" w:type="pct"/>
            <w:vMerge/>
            <w:noWrap/>
            <w:vAlign w:val="center"/>
            <w:hideMark/>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3</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30(1) third sub-paragraph of Directive 2009/81/EC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Notice of the publication of a prior information notice on a buyer profile </w:t>
            </w:r>
            <w:r w:rsidRPr="000B32EA">
              <w:rPr>
                <w:rFonts w:ascii="Calibri" w:hAnsi="Calibri"/>
                <w:color w:val="000000"/>
                <w:sz w:val="16"/>
                <w:szCs w:val="16"/>
                <w:lang w:val="en-IE"/>
              </w:rPr>
              <w:br/>
              <w:t>– defence directive</w:t>
            </w:r>
          </w:p>
        </w:tc>
      </w:tr>
      <w:tr w:rsidR="006340BB" w:rsidRPr="000B32EA" w:rsidTr="00632FD5">
        <w:trPr>
          <w:trHeight w:val="283"/>
        </w:trPr>
        <w:tc>
          <w:tcPr>
            <w:tcW w:w="790" w:type="pct"/>
            <w:vMerge/>
            <w:noWrap/>
            <w:vAlign w:val="center"/>
            <w:hideMark/>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4</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48(1)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Prior information notice used only for information – general directive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5</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67(1)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Periodic indicative notice used only for information – sectoral directive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6</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30(1) of Directive 2009/81/EC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Prior information notice used only for information – defence directive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7</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27(2) of Directive 2014/24/EU, Art. 28(3)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Prior information notice used to shorten time limits for receipt of tenders – general directive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8</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45(2)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Periodic indicative notice used to shorten time limits for receipt of tenders – sectoral directive</w:t>
            </w:r>
          </w:p>
        </w:tc>
      </w:tr>
      <w:tr w:rsidR="006340BB" w:rsidRPr="000B32EA" w:rsidTr="00632FD5">
        <w:trPr>
          <w:trHeight w:val="283"/>
        </w:trPr>
        <w:tc>
          <w:tcPr>
            <w:tcW w:w="790" w:type="pct"/>
            <w:vMerge w:val="restart"/>
            <w:noWrap/>
            <w:vAlign w:val="center"/>
          </w:tcPr>
          <w:p w:rsidR="006340BB" w:rsidRPr="000B32EA" w:rsidRDefault="006340BB" w:rsidP="00632FD5">
            <w:pPr>
              <w:spacing w:before="0" w:after="0"/>
              <w:jc w:val="left"/>
              <w:rPr>
                <w:rFonts w:eastAsia="Times New Roman"/>
                <w:color w:val="000000"/>
                <w:sz w:val="16"/>
                <w:szCs w:val="16"/>
                <w:lang w:val="en-IE" w:eastAsia="en-GB"/>
              </w:rPr>
            </w:pPr>
            <w:r w:rsidRPr="000B32EA">
              <w:rPr>
                <w:rFonts w:eastAsia="Times New Roman"/>
                <w:color w:val="000000"/>
                <w:sz w:val="16"/>
                <w:szCs w:val="16"/>
                <w:lang w:val="en-IE" w:eastAsia="en-GB"/>
              </w:rPr>
              <w:t xml:space="preserve">Competition </w:t>
            </w: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9</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48(2)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Prior information notice used as a call for competition </w:t>
            </w:r>
            <w:r w:rsidRPr="000B32EA">
              <w:rPr>
                <w:rFonts w:ascii="Calibri" w:hAnsi="Calibri"/>
                <w:color w:val="000000"/>
                <w:sz w:val="16"/>
                <w:szCs w:val="16"/>
                <w:lang w:val="en-IE"/>
              </w:rPr>
              <w:br/>
              <w:t>– general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10</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67(2)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Periodic information notice used as a call for competition </w:t>
            </w:r>
            <w:r w:rsidRPr="000B32EA">
              <w:rPr>
                <w:rFonts w:ascii="Calibri" w:hAnsi="Calibri"/>
                <w:color w:val="000000"/>
                <w:sz w:val="16"/>
                <w:szCs w:val="16"/>
                <w:lang w:val="en-IE"/>
              </w:rPr>
              <w:br/>
              <w:t>– sectoral directive, standard regime</w:t>
            </w:r>
          </w:p>
        </w:tc>
      </w:tr>
      <w:tr w:rsidR="006340BB" w:rsidRPr="009F7894"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11</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75(1b)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Prior information notice used as a call for competition </w:t>
            </w:r>
            <w:r w:rsidRPr="000B32EA">
              <w:rPr>
                <w:rFonts w:ascii="Calibri" w:hAnsi="Calibri"/>
                <w:color w:val="000000"/>
                <w:sz w:val="16"/>
                <w:szCs w:val="16"/>
                <w:lang w:val="en-IE"/>
              </w:rPr>
              <w:br/>
              <w:t xml:space="preserve">– general directive, </w:t>
            </w:r>
            <w:r w:rsidR="00335155">
              <w:rPr>
                <w:rFonts w:ascii="Calibri" w:hAnsi="Calibri"/>
                <w:color w:val="000000"/>
                <w:sz w:val="16"/>
                <w:szCs w:val="16"/>
                <w:lang w:val="en-IE"/>
              </w:rPr>
              <w:t>light regime</w:t>
            </w:r>
          </w:p>
        </w:tc>
      </w:tr>
      <w:tr w:rsidR="006340BB" w:rsidRPr="000B32EA" w:rsidTr="00632FD5">
        <w:trPr>
          <w:trHeight w:val="230"/>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12</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92(1b)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Periodic information notice used as a call for competition </w:t>
            </w:r>
            <w:r w:rsidRPr="000B32EA">
              <w:rPr>
                <w:rFonts w:ascii="Calibri" w:hAnsi="Calibri"/>
                <w:color w:val="000000"/>
                <w:sz w:val="16"/>
                <w:szCs w:val="16"/>
                <w:lang w:val="en-IE"/>
              </w:rPr>
              <w:br/>
              <w:t xml:space="preserve">– sectoral directive, </w:t>
            </w:r>
            <w:r w:rsidR="00335155">
              <w:rPr>
                <w:rFonts w:ascii="Calibri" w:hAnsi="Calibri"/>
                <w:color w:val="000000"/>
                <w:sz w:val="16"/>
                <w:szCs w:val="16"/>
                <w:lang w:val="en-IE"/>
              </w:rPr>
              <w:t>light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13</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31(3) of Directive 2014/23/EU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Prior information notice used as a call for competition </w:t>
            </w:r>
            <w:r w:rsidRPr="000B32EA">
              <w:rPr>
                <w:rFonts w:ascii="Calibri" w:hAnsi="Calibri"/>
                <w:color w:val="000000"/>
                <w:sz w:val="16"/>
                <w:szCs w:val="16"/>
                <w:lang w:val="en-IE"/>
              </w:rPr>
              <w:br/>
              <w:t xml:space="preserve">– concessions directive, </w:t>
            </w:r>
            <w:r w:rsidR="00335155">
              <w:rPr>
                <w:rFonts w:ascii="Calibri" w:hAnsi="Calibri"/>
                <w:color w:val="000000"/>
                <w:sz w:val="16"/>
                <w:szCs w:val="16"/>
                <w:lang w:val="en-IE"/>
              </w:rPr>
              <w:t>light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14</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68 of Directive 2014/25/EU, Art. 92(1c) of Directive 2014/25/EU</w:t>
            </w:r>
          </w:p>
        </w:tc>
        <w:tc>
          <w:tcPr>
            <w:tcW w:w="1746" w:type="pct"/>
            <w:vAlign w:val="center"/>
          </w:tcPr>
          <w:p w:rsidR="006340BB" w:rsidRPr="000B32EA" w:rsidRDefault="006340BB" w:rsidP="00632FD5">
            <w:pPr>
              <w:spacing w:before="0" w:after="0"/>
              <w:jc w:val="center"/>
              <w:rPr>
                <w:rFonts w:ascii="Calibri" w:hAnsi="Calibri"/>
                <w:color w:val="000000"/>
                <w:sz w:val="16"/>
                <w:szCs w:val="16"/>
                <w:lang w:val="en-IE"/>
              </w:rPr>
            </w:pPr>
            <w:r w:rsidRPr="000B32EA">
              <w:rPr>
                <w:rFonts w:ascii="Calibri" w:hAnsi="Calibri"/>
                <w:color w:val="000000"/>
                <w:sz w:val="16"/>
                <w:szCs w:val="16"/>
                <w:lang w:val="en-IE"/>
              </w:rPr>
              <w:t>Notice on the existence of a qualification system – sectoral directive</w:t>
            </w:r>
          </w:p>
        </w:tc>
      </w:tr>
      <w:tr w:rsidR="006340BB" w:rsidRPr="000B32EA" w:rsidTr="00632FD5">
        <w:trPr>
          <w:trHeight w:val="283"/>
        </w:trPr>
        <w:tc>
          <w:tcPr>
            <w:tcW w:w="790" w:type="pct"/>
            <w:vMerge/>
            <w:noWrap/>
            <w:vAlign w:val="center"/>
            <w:hideMark/>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15</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49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Contract notice – general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16</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69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Contract notice – sectoral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17</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31(1) of Directive 2014/23/EU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Concession notice – concessions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18</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30(2) of Directive 2009/81/EC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Contract notice – defence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19</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75(1a)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Contract notice – general directive, </w:t>
            </w:r>
            <w:r w:rsidR="00335155">
              <w:rPr>
                <w:rFonts w:ascii="Calibri" w:hAnsi="Calibri"/>
                <w:color w:val="000000"/>
                <w:sz w:val="16"/>
                <w:szCs w:val="16"/>
                <w:lang w:val="en-IE"/>
              </w:rPr>
              <w:t>light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20</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92(1a)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Contract notice – sectoral directive, </w:t>
            </w:r>
            <w:r w:rsidR="00335155">
              <w:rPr>
                <w:rFonts w:ascii="Calibri" w:hAnsi="Calibri"/>
                <w:color w:val="000000"/>
                <w:sz w:val="16"/>
                <w:szCs w:val="16"/>
                <w:lang w:val="en-IE"/>
              </w:rPr>
              <w:t>light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21</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52(1) of Directive 2009/81/EC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Subcontracting notice – defence directive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22</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79(1)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Design contest notice – general directive, </w:t>
            </w:r>
            <w:r w:rsidR="003C2625">
              <w:rPr>
                <w:rFonts w:ascii="Calibri" w:hAnsi="Calibri"/>
                <w:color w:val="000000"/>
                <w:sz w:val="16"/>
                <w:szCs w:val="16"/>
                <w:lang w:val="en-IE"/>
              </w:rPr>
              <w:t>design</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23</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96(1) first sub-paragraph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Design contest notice – sectoral directive, </w:t>
            </w:r>
            <w:r w:rsidR="003C2625">
              <w:rPr>
                <w:rFonts w:ascii="Calibri" w:hAnsi="Calibri"/>
                <w:color w:val="000000"/>
                <w:sz w:val="16"/>
                <w:szCs w:val="16"/>
                <w:lang w:val="en-IE"/>
              </w:rPr>
              <w:t>design</w:t>
            </w:r>
          </w:p>
        </w:tc>
      </w:tr>
      <w:tr w:rsidR="006340BB" w:rsidRPr="000B32EA" w:rsidTr="00632FD5">
        <w:trPr>
          <w:trHeight w:val="283"/>
        </w:trPr>
        <w:tc>
          <w:tcPr>
            <w:tcW w:w="790" w:type="pct"/>
            <w:vMerge w:val="restart"/>
            <w:noWrap/>
            <w:vAlign w:val="center"/>
          </w:tcPr>
          <w:p w:rsidR="006340BB" w:rsidRPr="000B32EA" w:rsidRDefault="006340BB" w:rsidP="00632FD5">
            <w:pPr>
              <w:spacing w:before="0" w:after="0"/>
              <w:jc w:val="left"/>
              <w:rPr>
                <w:rFonts w:eastAsia="Times New Roman"/>
                <w:color w:val="000000"/>
                <w:sz w:val="16"/>
                <w:szCs w:val="16"/>
                <w:lang w:val="en-IE" w:eastAsia="en-GB"/>
              </w:rPr>
            </w:pPr>
            <w:r w:rsidRPr="000B32EA">
              <w:rPr>
                <w:rFonts w:eastAsia="Times New Roman"/>
                <w:color w:val="000000"/>
                <w:sz w:val="16"/>
                <w:szCs w:val="16"/>
                <w:lang w:val="en-IE" w:eastAsia="en-GB"/>
              </w:rPr>
              <w:t xml:space="preserve">Direct award </w:t>
            </w:r>
            <w:r>
              <w:rPr>
                <w:rFonts w:eastAsia="Times New Roman"/>
                <w:color w:val="000000"/>
                <w:sz w:val="16"/>
                <w:szCs w:val="16"/>
                <w:lang w:val="en-IE" w:eastAsia="en-GB"/>
              </w:rPr>
              <w:t>preannouncement</w:t>
            </w:r>
            <w:r w:rsidRPr="000B32EA">
              <w:rPr>
                <w:rFonts w:eastAsia="Times New Roman"/>
                <w:color w:val="000000"/>
                <w:sz w:val="16"/>
                <w:szCs w:val="16"/>
                <w:lang w:val="en-IE" w:eastAsia="en-GB"/>
              </w:rPr>
              <w:t xml:space="preserve"> </w:t>
            </w: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 xml:space="preserve">Table 2, column </w:t>
            </w:r>
            <w:r>
              <w:rPr>
                <w:rFonts w:ascii="Calibri" w:eastAsia="Times New Roman" w:hAnsi="Calibri"/>
                <w:color w:val="000000"/>
                <w:sz w:val="16"/>
                <w:szCs w:val="16"/>
                <w:lang w:val="en-IE" w:eastAsia="en-GB"/>
              </w:rPr>
              <w:t>24</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3a of Directive 89/665/EEC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Voluntary ex-ante transparency notice – general directive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 xml:space="preserve">Table 2, column </w:t>
            </w:r>
            <w:r>
              <w:rPr>
                <w:rFonts w:ascii="Calibri" w:eastAsia="Times New Roman" w:hAnsi="Calibri"/>
                <w:color w:val="000000"/>
                <w:sz w:val="16"/>
                <w:szCs w:val="16"/>
                <w:lang w:val="en-IE" w:eastAsia="en-GB"/>
              </w:rPr>
              <w:t>25</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3a of Directive 92/13/EEC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Voluntary ex-ante transparency notice – sectoral directive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 xml:space="preserve">Table 2, column </w:t>
            </w:r>
            <w:r>
              <w:rPr>
                <w:rFonts w:ascii="Calibri" w:eastAsia="Times New Roman" w:hAnsi="Calibri"/>
                <w:color w:val="000000"/>
                <w:sz w:val="16"/>
                <w:szCs w:val="16"/>
                <w:lang w:val="en-IE" w:eastAsia="en-GB"/>
              </w:rPr>
              <w:t>26</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3a of Directives 89/665/EEC and 92/13/EEC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Voluntary ex-ante transparency notice – defence</w:t>
            </w:r>
            <w:r>
              <w:rPr>
                <w:rFonts w:ascii="Calibri" w:hAnsi="Calibri"/>
                <w:color w:val="000000"/>
                <w:sz w:val="16"/>
                <w:szCs w:val="16"/>
                <w:lang w:val="en-IE"/>
              </w:rPr>
              <w:t xml:space="preserve"> directive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 xml:space="preserve">Table 2, column </w:t>
            </w:r>
            <w:r>
              <w:rPr>
                <w:rFonts w:ascii="Calibri" w:eastAsia="Times New Roman" w:hAnsi="Calibri"/>
                <w:color w:val="000000"/>
                <w:sz w:val="16"/>
                <w:szCs w:val="16"/>
                <w:lang w:val="en-IE" w:eastAsia="en-GB"/>
              </w:rPr>
              <w:t>27</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3a of Directives 89/665/EEC and 92/13/EEC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Voluntary ex-ante transparency notice –</w:t>
            </w:r>
            <w:r>
              <w:rPr>
                <w:rFonts w:ascii="Calibri" w:hAnsi="Calibri"/>
                <w:color w:val="000000"/>
                <w:sz w:val="16"/>
                <w:szCs w:val="16"/>
                <w:lang w:val="en-IE"/>
              </w:rPr>
              <w:t xml:space="preserve"> concession directive</w:t>
            </w:r>
          </w:p>
        </w:tc>
      </w:tr>
      <w:tr w:rsidR="006340BB" w:rsidRPr="000B32EA" w:rsidTr="00632FD5">
        <w:trPr>
          <w:trHeight w:val="283"/>
        </w:trPr>
        <w:tc>
          <w:tcPr>
            <w:tcW w:w="790" w:type="pct"/>
            <w:vMerge w:val="restart"/>
            <w:noWrap/>
            <w:vAlign w:val="center"/>
            <w:hideMark/>
          </w:tcPr>
          <w:p w:rsidR="006340BB" w:rsidRPr="000B32EA" w:rsidRDefault="006340BB" w:rsidP="00632FD5">
            <w:pPr>
              <w:spacing w:before="0" w:after="0"/>
              <w:jc w:val="left"/>
              <w:rPr>
                <w:rFonts w:eastAsia="Times New Roman"/>
                <w:color w:val="000000"/>
                <w:sz w:val="16"/>
                <w:szCs w:val="16"/>
                <w:lang w:val="en-IE" w:eastAsia="en-GB"/>
              </w:rPr>
            </w:pPr>
            <w:r w:rsidRPr="000B32EA">
              <w:rPr>
                <w:rFonts w:eastAsia="Times New Roman"/>
                <w:color w:val="000000"/>
                <w:sz w:val="16"/>
                <w:szCs w:val="16"/>
                <w:lang w:val="en-IE" w:eastAsia="en-GB"/>
              </w:rPr>
              <w:t xml:space="preserve">Result </w:t>
            </w: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Table 2, column 2</w:t>
            </w:r>
            <w:r>
              <w:rPr>
                <w:rFonts w:ascii="Calibri" w:eastAsia="Times New Roman" w:hAnsi="Calibri"/>
                <w:color w:val="000000"/>
                <w:sz w:val="16"/>
                <w:szCs w:val="16"/>
                <w:lang w:val="en-IE" w:eastAsia="en-GB"/>
              </w:rPr>
              <w:t>8</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50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Contract award notice – general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Table 2, column 29</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70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Contract award notice – sectoral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Table 2, column 30</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32 (first half) of Directive 2014/23/EU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Concession award notice – concession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 xml:space="preserve">Table </w:t>
            </w:r>
            <w:r>
              <w:rPr>
                <w:rFonts w:ascii="Calibri" w:eastAsia="Times New Roman" w:hAnsi="Calibri"/>
                <w:color w:val="000000"/>
                <w:sz w:val="16"/>
                <w:szCs w:val="16"/>
                <w:lang w:val="en-IE" w:eastAsia="en-GB"/>
              </w:rPr>
              <w:t>2, column 31</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30(3) of Directive 2009/81/EC</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Contract award notice – defence directive, standard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Table 2, column 32</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75(2)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Contract award notice – general directive, </w:t>
            </w:r>
            <w:r w:rsidR="00335155">
              <w:rPr>
                <w:rFonts w:ascii="Calibri" w:hAnsi="Calibri"/>
                <w:color w:val="000000"/>
                <w:sz w:val="16"/>
                <w:szCs w:val="16"/>
                <w:lang w:val="en-IE"/>
              </w:rPr>
              <w:t>light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Table 2, column 33</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92(2)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Contract award notice – sectoral directive, </w:t>
            </w:r>
            <w:r w:rsidR="00335155">
              <w:rPr>
                <w:rFonts w:ascii="Calibri" w:hAnsi="Calibri"/>
                <w:color w:val="000000"/>
                <w:sz w:val="16"/>
                <w:szCs w:val="16"/>
                <w:lang w:val="en-IE"/>
              </w:rPr>
              <w:t>light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Table 2, column 34</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32 (second half) of Directive 2014/23/EU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sidRPr="000B32EA">
              <w:rPr>
                <w:rFonts w:ascii="Calibri" w:hAnsi="Calibri"/>
                <w:color w:val="000000"/>
                <w:sz w:val="16"/>
                <w:szCs w:val="16"/>
                <w:lang w:val="en-IE"/>
              </w:rPr>
              <w:t xml:space="preserve">Concession award notice – concessions directive, </w:t>
            </w:r>
            <w:r w:rsidR="00335155">
              <w:rPr>
                <w:rFonts w:ascii="Calibri" w:hAnsi="Calibri"/>
                <w:color w:val="000000"/>
                <w:sz w:val="16"/>
                <w:szCs w:val="16"/>
                <w:lang w:val="en-IE"/>
              </w:rPr>
              <w:t>light regime</w:t>
            </w:r>
          </w:p>
        </w:tc>
      </w:tr>
      <w:tr w:rsidR="006340BB" w:rsidRPr="000B32EA" w:rsidTr="00632FD5">
        <w:trPr>
          <w:trHeight w:val="283"/>
        </w:trPr>
        <w:tc>
          <w:tcPr>
            <w:tcW w:w="790" w:type="pct"/>
            <w:vMerge/>
            <w:noWrap/>
            <w:vAlign w:val="center"/>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Table 2, column 35</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79(2) of Directive 2014/24/EU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Pr>
                <w:rFonts w:ascii="Calibri" w:hAnsi="Calibri"/>
                <w:color w:val="000000"/>
                <w:sz w:val="16"/>
                <w:szCs w:val="16"/>
                <w:lang w:val="en-IE"/>
              </w:rPr>
              <w:t>D</w:t>
            </w:r>
            <w:r w:rsidRPr="000B32EA">
              <w:rPr>
                <w:rFonts w:ascii="Calibri" w:hAnsi="Calibri"/>
                <w:color w:val="000000"/>
                <w:sz w:val="16"/>
                <w:szCs w:val="16"/>
                <w:lang w:val="en-IE"/>
              </w:rPr>
              <w:t xml:space="preserve">esign contest </w:t>
            </w:r>
            <w:r>
              <w:rPr>
                <w:rFonts w:ascii="Calibri" w:hAnsi="Calibri"/>
                <w:color w:val="000000"/>
                <w:sz w:val="16"/>
                <w:szCs w:val="16"/>
                <w:lang w:val="en-IE"/>
              </w:rPr>
              <w:t xml:space="preserve">result notice </w:t>
            </w:r>
            <w:r w:rsidRPr="000B32EA">
              <w:rPr>
                <w:rFonts w:ascii="Calibri" w:hAnsi="Calibri"/>
                <w:color w:val="000000"/>
                <w:sz w:val="16"/>
                <w:szCs w:val="16"/>
                <w:lang w:val="en-IE"/>
              </w:rPr>
              <w:t xml:space="preserve">– general directive, </w:t>
            </w:r>
            <w:r w:rsidR="003C2625">
              <w:rPr>
                <w:rFonts w:ascii="Calibri" w:hAnsi="Calibri"/>
                <w:color w:val="000000"/>
                <w:sz w:val="16"/>
                <w:szCs w:val="16"/>
                <w:lang w:val="en-IE"/>
              </w:rPr>
              <w:t>design</w:t>
            </w:r>
          </w:p>
        </w:tc>
      </w:tr>
      <w:tr w:rsidR="006340BB" w:rsidRPr="000B32EA" w:rsidTr="00632FD5">
        <w:trPr>
          <w:trHeight w:val="283"/>
        </w:trPr>
        <w:tc>
          <w:tcPr>
            <w:tcW w:w="790" w:type="pct"/>
            <w:vMerge/>
            <w:noWrap/>
            <w:vAlign w:val="center"/>
            <w:hideMark/>
          </w:tcPr>
          <w:p w:rsidR="006340BB" w:rsidRPr="000B32EA" w:rsidRDefault="006340BB" w:rsidP="00632FD5">
            <w:pPr>
              <w:spacing w:before="0" w:after="0"/>
              <w:jc w:val="left"/>
              <w:rPr>
                <w:rFonts w:eastAsia="Times New Roman"/>
                <w:color w:val="000000"/>
                <w:sz w:val="16"/>
                <w:szCs w:val="16"/>
                <w:lang w:val="en-IE" w:eastAsia="en-GB"/>
              </w:rPr>
            </w:pP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Table 2, column 36</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96(1) second sub-paragraph of Directive 2014/25/EU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Pr>
                <w:rFonts w:ascii="Calibri" w:hAnsi="Calibri"/>
                <w:color w:val="000000"/>
                <w:sz w:val="16"/>
                <w:szCs w:val="16"/>
                <w:lang w:val="en-IE"/>
              </w:rPr>
              <w:t>D</w:t>
            </w:r>
            <w:r w:rsidRPr="000B32EA">
              <w:rPr>
                <w:rFonts w:ascii="Calibri" w:hAnsi="Calibri"/>
                <w:color w:val="000000"/>
                <w:sz w:val="16"/>
                <w:szCs w:val="16"/>
                <w:lang w:val="en-IE"/>
              </w:rPr>
              <w:t xml:space="preserve">esign contest </w:t>
            </w:r>
            <w:r>
              <w:rPr>
                <w:rFonts w:ascii="Calibri" w:hAnsi="Calibri"/>
                <w:color w:val="000000"/>
                <w:sz w:val="16"/>
                <w:szCs w:val="16"/>
                <w:lang w:val="en-IE"/>
              </w:rPr>
              <w:t>result notice</w:t>
            </w:r>
            <w:r w:rsidRPr="000B32EA">
              <w:rPr>
                <w:rFonts w:ascii="Calibri" w:hAnsi="Calibri"/>
                <w:color w:val="000000"/>
                <w:sz w:val="16"/>
                <w:szCs w:val="16"/>
                <w:lang w:val="en-IE"/>
              </w:rPr>
              <w:t xml:space="preserve"> – sectoral directive, </w:t>
            </w:r>
            <w:r w:rsidR="003C2625">
              <w:rPr>
                <w:rFonts w:ascii="Calibri" w:hAnsi="Calibri"/>
                <w:color w:val="000000"/>
                <w:sz w:val="16"/>
                <w:szCs w:val="16"/>
                <w:lang w:val="en-IE"/>
              </w:rPr>
              <w:t>design</w:t>
            </w:r>
          </w:p>
        </w:tc>
      </w:tr>
      <w:tr w:rsidR="006340BB" w:rsidRPr="000B32EA" w:rsidTr="00632FD5">
        <w:trPr>
          <w:trHeight w:val="283"/>
        </w:trPr>
        <w:tc>
          <w:tcPr>
            <w:tcW w:w="790" w:type="pct"/>
            <w:noWrap/>
            <w:vAlign w:val="center"/>
          </w:tcPr>
          <w:p w:rsidR="006340BB" w:rsidRPr="000B32EA" w:rsidRDefault="006340BB" w:rsidP="00632FD5">
            <w:pPr>
              <w:spacing w:before="0" w:after="0"/>
              <w:jc w:val="left"/>
              <w:rPr>
                <w:rFonts w:eastAsia="Times New Roman"/>
                <w:color w:val="000000"/>
                <w:sz w:val="16"/>
                <w:szCs w:val="16"/>
                <w:lang w:val="en-IE" w:eastAsia="en-GB"/>
              </w:rPr>
            </w:pPr>
            <w:r w:rsidRPr="000B32EA">
              <w:rPr>
                <w:rFonts w:eastAsia="Times New Roman"/>
                <w:color w:val="000000"/>
                <w:sz w:val="16"/>
                <w:szCs w:val="16"/>
                <w:lang w:val="en-IE" w:eastAsia="en-GB"/>
              </w:rPr>
              <w:t xml:space="preserve">Contract modification </w:t>
            </w: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 xml:space="preserve">the </w:t>
            </w:r>
            <w:r>
              <w:rPr>
                <w:rFonts w:ascii="Calibri" w:eastAsia="Times New Roman" w:hAnsi="Calibri"/>
                <w:color w:val="000000"/>
                <w:sz w:val="16"/>
                <w:szCs w:val="16"/>
                <w:lang w:val="en-IE" w:eastAsia="en-GB"/>
              </w:rPr>
              <w:t xml:space="preserve">Result </w:t>
            </w:r>
            <w:r w:rsidRPr="000B32EA">
              <w:rPr>
                <w:rFonts w:ascii="Calibri" w:eastAsia="Times New Roman" w:hAnsi="Calibri"/>
                <w:color w:val="000000"/>
                <w:sz w:val="16"/>
                <w:szCs w:val="16"/>
                <w:lang w:val="en-IE" w:eastAsia="en-GB"/>
              </w:rPr>
              <w:t xml:space="preserve">standard form and the </w:t>
            </w:r>
            <w:r>
              <w:rPr>
                <w:rFonts w:ascii="Calibri" w:eastAsia="Times New Roman" w:hAnsi="Calibri"/>
                <w:color w:val="000000"/>
                <w:sz w:val="16"/>
                <w:szCs w:val="16"/>
                <w:lang w:val="en-IE" w:eastAsia="en-GB"/>
              </w:rPr>
              <w:t xml:space="preserve">Notice and </w:t>
            </w:r>
            <w:r w:rsidRPr="000B32EA">
              <w:rPr>
                <w:rFonts w:ascii="Calibri" w:eastAsia="Times New Roman" w:hAnsi="Calibri"/>
                <w:color w:val="000000"/>
                <w:sz w:val="16"/>
                <w:szCs w:val="16"/>
                <w:lang w:val="en-IE" w:eastAsia="en-GB"/>
              </w:rPr>
              <w:t xml:space="preserve">Modification </w:t>
            </w:r>
            <w:r>
              <w:rPr>
                <w:rFonts w:ascii="Calibri" w:eastAsia="Times New Roman" w:hAnsi="Calibri"/>
                <w:color w:val="000000"/>
                <w:sz w:val="16"/>
                <w:szCs w:val="16"/>
                <w:lang w:val="en-IE" w:eastAsia="en-GB"/>
              </w:rPr>
              <w:t xml:space="preserve">sections </w:t>
            </w:r>
            <w:r w:rsidRPr="000B32EA">
              <w:rPr>
                <w:rFonts w:ascii="Calibri" w:eastAsia="Times New Roman" w:hAnsi="Calibri"/>
                <w:color w:val="000000"/>
                <w:sz w:val="16"/>
                <w:szCs w:val="16"/>
                <w:lang w:val="en-IE" w:eastAsia="en-GB"/>
              </w:rPr>
              <w:t>from Table 2.</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sidRPr="000B32EA">
              <w:rPr>
                <w:rFonts w:ascii="Calibri" w:eastAsia="Times New Roman" w:hAnsi="Calibri"/>
                <w:color w:val="000000"/>
                <w:sz w:val="16"/>
                <w:szCs w:val="16"/>
                <w:lang w:val="en-IE" w:eastAsia="en-GB"/>
              </w:rPr>
              <w:t>Art. 72(1) of Directive 2014/24/EU, Art. 89(1) of Directive 2014/25/EU, Art. 43(1) of Directive 2014/23/EU</w:t>
            </w:r>
          </w:p>
        </w:tc>
        <w:tc>
          <w:tcPr>
            <w:tcW w:w="1746" w:type="pct"/>
            <w:vAlign w:val="center"/>
          </w:tcPr>
          <w:p w:rsidR="006340BB" w:rsidRPr="000B32EA" w:rsidRDefault="006340BB" w:rsidP="00632FD5">
            <w:pPr>
              <w:spacing w:before="0" w:after="0"/>
              <w:jc w:val="center"/>
              <w:rPr>
                <w:rFonts w:asciiTheme="minorHAnsi" w:eastAsia="Times New Roman" w:hAnsiTheme="minorHAnsi"/>
                <w:color w:val="000000"/>
                <w:sz w:val="16"/>
                <w:szCs w:val="16"/>
                <w:lang w:val="en-IE" w:eastAsia="en-GB"/>
              </w:rPr>
            </w:pPr>
            <w:r>
              <w:rPr>
                <w:rFonts w:asciiTheme="minorHAnsi" w:eastAsia="Times New Roman" w:hAnsiTheme="minorHAnsi"/>
                <w:color w:val="000000"/>
                <w:sz w:val="16"/>
                <w:szCs w:val="16"/>
                <w:lang w:val="en-IE" w:eastAsia="en-GB"/>
              </w:rPr>
              <w:t xml:space="preserve">Contract modification notice </w:t>
            </w:r>
          </w:p>
        </w:tc>
      </w:tr>
      <w:tr w:rsidR="006340BB" w:rsidRPr="000B32EA" w:rsidTr="00632FD5">
        <w:trPr>
          <w:trHeight w:val="283"/>
        </w:trPr>
        <w:tc>
          <w:tcPr>
            <w:tcW w:w="790" w:type="pct"/>
            <w:noWrap/>
            <w:vAlign w:val="center"/>
          </w:tcPr>
          <w:p w:rsidR="006340BB" w:rsidRPr="000B32EA" w:rsidRDefault="006340BB" w:rsidP="00632FD5">
            <w:pPr>
              <w:spacing w:before="0" w:after="0"/>
              <w:jc w:val="left"/>
              <w:rPr>
                <w:rFonts w:eastAsia="Times New Roman"/>
                <w:color w:val="000000"/>
                <w:sz w:val="16"/>
                <w:szCs w:val="16"/>
                <w:lang w:val="en-IE" w:eastAsia="en-GB"/>
              </w:rPr>
            </w:pPr>
            <w:r>
              <w:rPr>
                <w:rFonts w:eastAsia="Times New Roman"/>
                <w:color w:val="000000"/>
                <w:sz w:val="16"/>
                <w:szCs w:val="16"/>
                <w:lang w:val="en-IE" w:eastAsia="en-GB"/>
              </w:rPr>
              <w:t>Change</w:t>
            </w:r>
          </w:p>
        </w:tc>
        <w:tc>
          <w:tcPr>
            <w:tcW w:w="86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any other standard form and the Notice and Change Cancellation sections from Table 2</w:t>
            </w:r>
          </w:p>
        </w:tc>
        <w:tc>
          <w:tcPr>
            <w:tcW w:w="1602" w:type="pct"/>
            <w:vAlign w:val="center"/>
          </w:tcPr>
          <w:p w:rsidR="006340BB" w:rsidRPr="000B32EA" w:rsidRDefault="006340BB" w:rsidP="00632FD5">
            <w:pPr>
              <w:spacing w:before="0" w:after="0"/>
              <w:jc w:val="center"/>
              <w:rPr>
                <w:rFonts w:ascii="Calibri" w:eastAsia="Times New Roman" w:hAnsi="Calibri"/>
                <w:color w:val="000000"/>
                <w:sz w:val="16"/>
                <w:szCs w:val="16"/>
                <w:lang w:val="en-IE" w:eastAsia="en-GB"/>
              </w:rPr>
            </w:pPr>
            <w:r>
              <w:rPr>
                <w:rFonts w:ascii="Calibri" w:eastAsia="Times New Roman" w:hAnsi="Calibri"/>
                <w:color w:val="000000"/>
                <w:sz w:val="16"/>
                <w:szCs w:val="16"/>
                <w:lang w:val="en-IE" w:eastAsia="en-GB"/>
              </w:rPr>
              <w:t>changing any of the notices listed above</w:t>
            </w:r>
          </w:p>
        </w:tc>
        <w:tc>
          <w:tcPr>
            <w:tcW w:w="1746" w:type="pct"/>
            <w:vAlign w:val="center"/>
          </w:tcPr>
          <w:p w:rsidR="006340BB" w:rsidRDefault="006340BB" w:rsidP="00632FD5">
            <w:pPr>
              <w:spacing w:before="0" w:after="0"/>
              <w:jc w:val="center"/>
              <w:rPr>
                <w:rFonts w:asciiTheme="minorHAnsi" w:eastAsia="Times New Roman" w:hAnsiTheme="minorHAnsi"/>
                <w:color w:val="000000"/>
                <w:sz w:val="16"/>
                <w:szCs w:val="16"/>
                <w:lang w:val="en-IE" w:eastAsia="en-GB"/>
              </w:rPr>
            </w:pPr>
            <w:r>
              <w:rPr>
                <w:rFonts w:asciiTheme="minorHAnsi" w:eastAsia="Times New Roman" w:hAnsiTheme="minorHAnsi"/>
                <w:color w:val="000000"/>
                <w:sz w:val="16"/>
                <w:szCs w:val="16"/>
                <w:lang w:val="en-IE" w:eastAsia="en-GB"/>
              </w:rPr>
              <w:t>Change notice</w:t>
            </w:r>
          </w:p>
        </w:tc>
      </w:tr>
    </w:tbl>
    <w:p w:rsidR="006340BB" w:rsidRPr="000B32EA" w:rsidRDefault="006340BB" w:rsidP="006340BB">
      <w:pPr>
        <w:spacing w:before="0" w:after="200" w:line="276" w:lineRule="auto"/>
        <w:jc w:val="left"/>
        <w:rPr>
          <w:b/>
          <w:bCs/>
          <w:color w:val="444444"/>
          <w:sz w:val="27"/>
          <w:szCs w:val="27"/>
          <w:lang w:val="en-IE"/>
        </w:rPr>
        <w:sectPr w:rsidR="006340BB" w:rsidRPr="000B32EA" w:rsidSect="000F5B4A">
          <w:headerReference w:type="default" r:id="rId10"/>
          <w:footerReference w:type="default" r:id="rId11"/>
          <w:headerReference w:type="first" r:id="rId12"/>
          <w:footerReference w:type="first" r:id="rId13"/>
          <w:pgSz w:w="16839" w:h="11907" w:orient="landscape"/>
          <w:pgMar w:top="1417" w:right="1134" w:bottom="1417" w:left="1134" w:header="709" w:footer="709" w:gutter="0"/>
          <w:cols w:space="720"/>
          <w:docGrid w:linePitch="360"/>
        </w:sectPr>
      </w:pPr>
    </w:p>
    <w:p w:rsidR="006340BB" w:rsidRPr="000B32EA" w:rsidRDefault="006340BB" w:rsidP="006340BB">
      <w:pPr>
        <w:pStyle w:val="ManualHeading1"/>
        <w:rPr>
          <w:lang w:val="en-IE"/>
        </w:rPr>
      </w:pPr>
      <w:r>
        <w:rPr>
          <w:lang w:val="en-IE"/>
        </w:rPr>
        <w:t>fields</w:t>
      </w:r>
    </w:p>
    <w:p w:rsidR="006340BB" w:rsidRPr="000B32EA" w:rsidRDefault="006340BB" w:rsidP="006340BB">
      <w:pPr>
        <w:rPr>
          <w:lang w:val="en-IE"/>
        </w:rPr>
      </w:pPr>
      <w:r>
        <w:rPr>
          <w:lang w:val="en-IE"/>
        </w:rPr>
        <w:t>Standard f</w:t>
      </w:r>
      <w:r w:rsidRPr="000B32EA">
        <w:rPr>
          <w:lang w:val="en-IE"/>
        </w:rPr>
        <w:t>orms contain mandatory and optional fields</w:t>
      </w:r>
      <w:r>
        <w:rPr>
          <w:lang w:val="en-IE"/>
        </w:rPr>
        <w:t xml:space="preserve"> </w:t>
      </w:r>
      <w:r w:rsidRPr="000B32EA">
        <w:rPr>
          <w:lang w:val="en-IE"/>
        </w:rPr>
        <w:t>as indicated in Table 2.</w:t>
      </w:r>
    </w:p>
    <w:p w:rsidR="006340BB" w:rsidRPr="000B32EA" w:rsidRDefault="006340BB" w:rsidP="009131B4">
      <w:pPr>
        <w:pStyle w:val="Point1letter"/>
        <w:numPr>
          <w:ilvl w:val="3"/>
          <w:numId w:val="9"/>
        </w:numPr>
        <w:rPr>
          <w:lang w:val="en-IE"/>
        </w:rPr>
      </w:pPr>
      <w:r>
        <w:rPr>
          <w:lang w:val="en-IE"/>
        </w:rPr>
        <w:t>M</w:t>
      </w:r>
      <w:r w:rsidRPr="000B32EA">
        <w:rPr>
          <w:lang w:val="en-IE"/>
        </w:rPr>
        <w:t xml:space="preserve">andatory fields shall </w:t>
      </w:r>
      <w:r>
        <w:rPr>
          <w:lang w:val="en-IE"/>
        </w:rPr>
        <w:t>be filled in, unless certain conditions are met (see below)</w:t>
      </w:r>
      <w:r w:rsidRPr="000B32EA">
        <w:rPr>
          <w:lang w:val="en-IE"/>
        </w:rPr>
        <w:t>. In Table 2</w:t>
      </w:r>
      <w:r>
        <w:rPr>
          <w:lang w:val="en-IE"/>
        </w:rPr>
        <w:t xml:space="preserve"> (columns 1-36)</w:t>
      </w:r>
      <w:r w:rsidRPr="000B32EA">
        <w:rPr>
          <w:lang w:val="en-IE"/>
        </w:rPr>
        <w:t xml:space="preserve">, </w:t>
      </w:r>
      <w:r>
        <w:rPr>
          <w:lang w:val="en-IE"/>
        </w:rPr>
        <w:t xml:space="preserve">the fields </w:t>
      </w:r>
      <w:r w:rsidRPr="000B32EA">
        <w:rPr>
          <w:lang w:val="en-IE"/>
        </w:rPr>
        <w:t>are marked as "M".</w:t>
      </w:r>
    </w:p>
    <w:p w:rsidR="006340BB" w:rsidRDefault="006340BB" w:rsidP="006340BB">
      <w:pPr>
        <w:pStyle w:val="Point1letter"/>
        <w:rPr>
          <w:lang w:val="en-IE"/>
        </w:rPr>
      </w:pPr>
      <w:r>
        <w:rPr>
          <w:lang w:val="en-IE"/>
        </w:rPr>
        <w:t>O</w:t>
      </w:r>
      <w:r w:rsidRPr="000B32EA">
        <w:rPr>
          <w:lang w:val="en-IE"/>
        </w:rPr>
        <w:t xml:space="preserve">ptional fields may be </w:t>
      </w:r>
      <w:r>
        <w:rPr>
          <w:lang w:val="en-IE"/>
        </w:rPr>
        <w:t>filled in</w:t>
      </w:r>
      <w:r w:rsidRPr="000B32EA">
        <w:rPr>
          <w:lang w:val="en-IE"/>
        </w:rPr>
        <w:t>. In Table 2</w:t>
      </w:r>
      <w:r>
        <w:rPr>
          <w:lang w:val="en-IE"/>
        </w:rPr>
        <w:t xml:space="preserve"> (columns 1-36)</w:t>
      </w:r>
      <w:r w:rsidRPr="000B32EA">
        <w:rPr>
          <w:lang w:val="en-IE"/>
        </w:rPr>
        <w:t xml:space="preserve">, </w:t>
      </w:r>
      <w:r>
        <w:rPr>
          <w:lang w:val="en-IE"/>
        </w:rPr>
        <w:t xml:space="preserve">the fields </w:t>
      </w:r>
      <w:r w:rsidRPr="000B32EA">
        <w:rPr>
          <w:lang w:val="en-IE"/>
        </w:rPr>
        <w:t>are marked as "O".</w:t>
      </w:r>
    </w:p>
    <w:p w:rsidR="006340BB" w:rsidRPr="00DA0ACC" w:rsidRDefault="006340BB" w:rsidP="006340BB">
      <w:pPr>
        <w:pStyle w:val="Point1letter"/>
        <w:rPr>
          <w:lang w:val="en-IE"/>
        </w:rPr>
      </w:pPr>
      <w:r>
        <w:rPr>
          <w:lang w:val="en-IE"/>
        </w:rPr>
        <w:t xml:space="preserve">Fields are grouped in sections. </w:t>
      </w:r>
      <w:r w:rsidRPr="00DA0ACC">
        <w:rPr>
          <w:lang w:val="en-IE"/>
        </w:rPr>
        <w:t>In</w:t>
      </w:r>
      <w:r>
        <w:rPr>
          <w:lang w:val="en-IE"/>
        </w:rPr>
        <w:t xml:space="preserve"> T</w:t>
      </w:r>
      <w:r w:rsidRPr="00DA0ACC">
        <w:rPr>
          <w:lang w:val="en-IE"/>
        </w:rPr>
        <w:t>able 2</w:t>
      </w:r>
      <w:r>
        <w:rPr>
          <w:lang w:val="en-IE"/>
        </w:rPr>
        <w:t xml:space="preserve"> (column "Data type"), sections are </w:t>
      </w:r>
      <w:r w:rsidRPr="00DA0ACC">
        <w:rPr>
          <w:lang w:val="en-IE"/>
        </w:rPr>
        <w:t>marked with "-"</w:t>
      </w:r>
      <w:r>
        <w:rPr>
          <w:lang w:val="en-IE"/>
        </w:rPr>
        <w:t>.</w:t>
      </w:r>
      <w:r w:rsidRPr="00DA0ACC">
        <w:rPr>
          <w:lang w:val="en-IE"/>
        </w:rPr>
        <w:t xml:space="preserve"> </w:t>
      </w:r>
    </w:p>
    <w:p w:rsidR="006340BB" w:rsidRDefault="006340BB" w:rsidP="006340BB">
      <w:pPr>
        <w:spacing w:before="0" w:after="200" w:line="276" w:lineRule="auto"/>
        <w:rPr>
          <w:lang w:val="en-IE"/>
        </w:rPr>
      </w:pPr>
      <w:r w:rsidRPr="006537A1">
        <w:rPr>
          <w:lang w:val="en-IE"/>
        </w:rPr>
        <w:t>Formats and procedures for sending notices, as established under point three of Annex VIII to Directive 2014/24/EU,</w:t>
      </w:r>
      <w:r w:rsidRPr="006537A1">
        <w:t xml:space="preserve"> of Annex IV to Directive 2014/25/EU and of Annex VI to 2009/81/EC</w:t>
      </w:r>
      <w:r w:rsidRPr="006537A1">
        <w:rPr>
          <w:lang w:val="en-IE"/>
        </w:rPr>
        <w:t xml:space="preserve"> and </w:t>
      </w:r>
      <w:r w:rsidRPr="006537A1">
        <w:t>point two of Annex IV to 2014/23/EU</w:t>
      </w:r>
      <w:r w:rsidRPr="006537A1">
        <w:rPr>
          <w:lang w:val="en-IE"/>
        </w:rPr>
        <w:t>, shall include conditions under</w:t>
      </w:r>
      <w:r>
        <w:rPr>
          <w:lang w:val="en-IE"/>
        </w:rPr>
        <w:t xml:space="preserve"> which mandatory</w:t>
      </w:r>
      <w:r w:rsidR="008452CD">
        <w:rPr>
          <w:lang w:val="en-IE"/>
        </w:rPr>
        <w:t xml:space="preserve"> </w:t>
      </w:r>
      <w:r>
        <w:rPr>
          <w:lang w:val="en-IE"/>
        </w:rPr>
        <w:t xml:space="preserve">fields are not applicable. </w:t>
      </w:r>
      <w:r>
        <w:t>These conditions shall</w:t>
      </w:r>
      <w:r w:rsidRPr="008C733D">
        <w:t xml:space="preserve"> </w:t>
      </w:r>
      <w:r>
        <w:t>exclusively take into account the context of a concrete notice or a procedure (</w:t>
      </w:r>
      <w:r>
        <w:rPr>
          <w:lang w:val="en-IE"/>
        </w:rPr>
        <w:t>for example, fields about framework agreements shall not be mandatory if a procedure does not include a framework agreement).</w:t>
      </w:r>
    </w:p>
    <w:p w:rsidR="00A170A9" w:rsidRPr="002B6A1C" w:rsidRDefault="006340BB" w:rsidP="006340BB">
      <w:pPr>
        <w:spacing w:before="0" w:after="200" w:line="276" w:lineRule="auto"/>
        <w:rPr>
          <w:lang w:val="en-US"/>
        </w:rPr>
      </w:pPr>
      <w:r w:rsidRPr="00554622">
        <w:rPr>
          <w:lang w:val="en-IE"/>
        </w:rPr>
        <w:t>The formats and procedures for sending notices shall also set which fields are mandatory and optional for</w:t>
      </w:r>
      <w:r>
        <w:rPr>
          <w:lang w:val="en-IE"/>
        </w:rPr>
        <w:t xml:space="preserve"> notices published in line with Article 51(6) of Directive 2014/24/EU, </w:t>
      </w:r>
      <w:r>
        <w:t xml:space="preserve">Article 71(6) of Directive 2014/25/EU </w:t>
      </w:r>
      <w:r>
        <w:rPr>
          <w:lang w:val="en-IE"/>
        </w:rPr>
        <w:t xml:space="preserve">and </w:t>
      </w:r>
      <w:r>
        <w:t>Article 31 of Directive 2009/81/EC</w:t>
      </w:r>
      <w:r>
        <w:rPr>
          <w:lang w:val="en-IE"/>
        </w:rPr>
        <w:t xml:space="preserve">. </w:t>
      </w:r>
    </w:p>
    <w:p w:rsidR="006340BB" w:rsidRPr="000B32EA" w:rsidRDefault="006340BB" w:rsidP="006340BB">
      <w:pPr>
        <w:pStyle w:val="ManualHeading1"/>
        <w:rPr>
          <w:lang w:val="en-IE"/>
        </w:rPr>
      </w:pPr>
      <w:r w:rsidRPr="000B32EA">
        <w:rPr>
          <w:lang w:val="en-IE"/>
        </w:rPr>
        <w:t xml:space="preserve">Instructions for reading table 2 </w:t>
      </w:r>
    </w:p>
    <w:p w:rsidR="006340BB" w:rsidRPr="000B32EA" w:rsidRDefault="006340BB" w:rsidP="009131B4">
      <w:pPr>
        <w:pStyle w:val="Bullet0"/>
        <w:numPr>
          <w:ilvl w:val="0"/>
          <w:numId w:val="10"/>
        </w:numPr>
        <w:rPr>
          <w:lang w:val="en-IE"/>
        </w:rPr>
      </w:pPr>
      <w:r w:rsidRPr="000B32EA">
        <w:rPr>
          <w:lang w:val="en-IE"/>
        </w:rPr>
        <w:t xml:space="preserve">The first column contains information about the </w:t>
      </w:r>
      <w:r>
        <w:rPr>
          <w:lang w:val="en-IE"/>
        </w:rPr>
        <w:t>nesting</w:t>
      </w:r>
      <w:r w:rsidRPr="000B32EA">
        <w:rPr>
          <w:lang w:val="en-IE"/>
        </w:rPr>
        <w:t xml:space="preserve"> of the field or </w:t>
      </w:r>
      <w:r>
        <w:rPr>
          <w:lang w:val="en-IE"/>
        </w:rPr>
        <w:t>section</w:t>
      </w:r>
      <w:r w:rsidRPr="000B32EA">
        <w:rPr>
          <w:lang w:val="en-IE"/>
        </w:rPr>
        <w:t xml:space="preserve">. Each field </w:t>
      </w:r>
      <w:r>
        <w:rPr>
          <w:lang w:val="en-IE"/>
        </w:rPr>
        <w:t xml:space="preserve">or section </w:t>
      </w:r>
      <w:r w:rsidRPr="000B32EA">
        <w:rPr>
          <w:lang w:val="en-IE"/>
        </w:rPr>
        <w:t xml:space="preserve">with a level of "++", "+++" and "++++" is nested within the nearest </w:t>
      </w:r>
      <w:r>
        <w:rPr>
          <w:lang w:val="en-IE"/>
        </w:rPr>
        <w:t xml:space="preserve">section placed </w:t>
      </w:r>
      <w:r w:rsidRPr="000B32EA">
        <w:rPr>
          <w:lang w:val="en-IE"/>
        </w:rPr>
        <w:t xml:space="preserve">above it that has a lower number of "+". </w:t>
      </w:r>
    </w:p>
    <w:p w:rsidR="006340BB" w:rsidRPr="000B32EA" w:rsidRDefault="006340BB" w:rsidP="006340BB">
      <w:pPr>
        <w:pStyle w:val="Bullet0"/>
        <w:rPr>
          <w:lang w:val="en-IE"/>
        </w:rPr>
      </w:pPr>
      <w:r w:rsidRPr="000B32EA">
        <w:rPr>
          <w:lang w:val="en-IE"/>
        </w:rPr>
        <w:t xml:space="preserve">The second and third columns contain the fields' (or </w:t>
      </w:r>
      <w:r>
        <w:rPr>
          <w:lang w:val="en-IE"/>
        </w:rPr>
        <w:t>section's</w:t>
      </w:r>
      <w:r w:rsidRPr="000B32EA">
        <w:rPr>
          <w:lang w:val="en-IE"/>
        </w:rPr>
        <w:t>) names and descriptions.</w:t>
      </w:r>
    </w:p>
    <w:p w:rsidR="006340BB" w:rsidRPr="000B32EA" w:rsidRDefault="006340BB" w:rsidP="006340BB">
      <w:pPr>
        <w:pStyle w:val="Bullet0"/>
        <w:rPr>
          <w:lang w:val="en-IE"/>
        </w:rPr>
      </w:pPr>
      <w:r w:rsidRPr="000B32EA">
        <w:rPr>
          <w:lang w:val="en-IE"/>
        </w:rPr>
        <w:t>The fourth column contains one of the following data types:</w:t>
      </w:r>
    </w:p>
    <w:p w:rsidR="006340BB" w:rsidRPr="000B32EA" w:rsidRDefault="006340BB" w:rsidP="009131B4">
      <w:pPr>
        <w:pStyle w:val="Tiret1"/>
        <w:numPr>
          <w:ilvl w:val="0"/>
          <w:numId w:val="11"/>
        </w:numPr>
        <w:rPr>
          <w:lang w:val="en-IE"/>
        </w:rPr>
      </w:pPr>
      <w:r w:rsidRPr="000B32EA">
        <w:rPr>
          <w:lang w:val="en-IE"/>
        </w:rPr>
        <w:t>"Ind</w:t>
      </w:r>
      <w:r>
        <w:rPr>
          <w:lang w:val="en-IE"/>
        </w:rPr>
        <w:t>icator</w:t>
      </w:r>
      <w:r w:rsidRPr="000B32EA">
        <w:rPr>
          <w:lang w:val="en-IE"/>
        </w:rPr>
        <w:t>": This field shall contain either "Yes" or "No".</w:t>
      </w:r>
    </w:p>
    <w:p w:rsidR="006340BB" w:rsidRPr="000B32EA" w:rsidRDefault="006340BB" w:rsidP="006340BB">
      <w:pPr>
        <w:pStyle w:val="Tiret1"/>
        <w:rPr>
          <w:lang w:val="en-IE"/>
        </w:rPr>
      </w:pPr>
      <w:r w:rsidRPr="000B32EA">
        <w:rPr>
          <w:lang w:val="en-IE"/>
        </w:rPr>
        <w:t xml:space="preserve">"Code": This field shall contain values from a predefined list. </w:t>
      </w:r>
    </w:p>
    <w:p w:rsidR="006340BB" w:rsidRDefault="006340BB" w:rsidP="006340BB">
      <w:pPr>
        <w:pStyle w:val="Tiret1"/>
        <w:rPr>
          <w:lang w:val="en-IE"/>
        </w:rPr>
      </w:pPr>
      <w:r w:rsidRPr="000B32EA">
        <w:rPr>
          <w:lang w:val="en-IE"/>
        </w:rPr>
        <w:t xml:space="preserve">"Date": This field shall contain a date and a time-zone and may contain also more detailed time information. </w:t>
      </w:r>
    </w:p>
    <w:p w:rsidR="006340BB" w:rsidRPr="000B32EA" w:rsidRDefault="006340BB" w:rsidP="006340BB">
      <w:pPr>
        <w:pStyle w:val="Tiret1"/>
        <w:rPr>
          <w:lang w:val="en-IE"/>
        </w:rPr>
      </w:pPr>
      <w:r>
        <w:rPr>
          <w:lang w:val="en-IE"/>
        </w:rPr>
        <w:t>"Duration": This field shall contain a duration.</w:t>
      </w:r>
    </w:p>
    <w:p w:rsidR="006340BB" w:rsidRPr="000B32EA" w:rsidRDefault="006340BB" w:rsidP="006340BB">
      <w:pPr>
        <w:pStyle w:val="Tiret1"/>
        <w:rPr>
          <w:lang w:val="en-IE"/>
        </w:rPr>
      </w:pPr>
      <w:r w:rsidRPr="000B32EA">
        <w:rPr>
          <w:lang w:val="en-IE"/>
        </w:rPr>
        <w:t>"</w:t>
      </w:r>
      <w:r>
        <w:rPr>
          <w:lang w:val="en-IE"/>
        </w:rPr>
        <w:t>Identifier</w:t>
      </w:r>
      <w:r w:rsidRPr="000B32EA">
        <w:rPr>
          <w:lang w:val="en-IE"/>
        </w:rPr>
        <w:t>": This field shall contain a set of information allowing unique identification.</w:t>
      </w:r>
    </w:p>
    <w:p w:rsidR="006340BB" w:rsidRPr="000B32EA" w:rsidRDefault="006340BB" w:rsidP="006340BB">
      <w:pPr>
        <w:pStyle w:val="Tiret1"/>
        <w:rPr>
          <w:lang w:val="en-IE"/>
        </w:rPr>
      </w:pPr>
      <w:r w:rsidRPr="000B32EA">
        <w:rPr>
          <w:lang w:val="en-IE"/>
        </w:rPr>
        <w:t>"</w:t>
      </w:r>
      <w:r>
        <w:rPr>
          <w:lang w:val="en-IE"/>
        </w:rPr>
        <w:t>Number</w:t>
      </w:r>
      <w:r w:rsidRPr="000B32EA">
        <w:rPr>
          <w:lang w:val="en-IE"/>
        </w:rPr>
        <w:t>": This field shall contain a number.</w:t>
      </w:r>
    </w:p>
    <w:p w:rsidR="006340BB" w:rsidRPr="000B32EA" w:rsidRDefault="006340BB" w:rsidP="006340BB">
      <w:pPr>
        <w:pStyle w:val="Tiret1"/>
        <w:rPr>
          <w:lang w:val="en-IE"/>
        </w:rPr>
      </w:pPr>
      <w:r w:rsidRPr="000B32EA">
        <w:rPr>
          <w:lang w:val="en-IE"/>
        </w:rPr>
        <w:t xml:space="preserve">"Text": This field shall contain a text. </w:t>
      </w:r>
    </w:p>
    <w:p w:rsidR="006340BB" w:rsidRPr="000B32EA" w:rsidRDefault="006340BB" w:rsidP="006340BB">
      <w:pPr>
        <w:pStyle w:val="Tiret1"/>
        <w:rPr>
          <w:lang w:val="en-IE"/>
        </w:rPr>
      </w:pPr>
      <w:r w:rsidRPr="000B32EA">
        <w:rPr>
          <w:lang w:val="en-IE"/>
        </w:rPr>
        <w:t xml:space="preserve">"URL": This field shall contain a uniform resource locator (e.g. a web address). </w:t>
      </w:r>
    </w:p>
    <w:p w:rsidR="006340BB" w:rsidRPr="000B32EA" w:rsidRDefault="006340BB" w:rsidP="006340BB">
      <w:pPr>
        <w:pStyle w:val="Tiret1"/>
        <w:rPr>
          <w:lang w:val="en-IE"/>
        </w:rPr>
      </w:pPr>
      <w:r w:rsidRPr="000B32EA">
        <w:rPr>
          <w:lang w:val="en-IE"/>
        </w:rPr>
        <w:t>"Val</w:t>
      </w:r>
      <w:r>
        <w:rPr>
          <w:lang w:val="en-IE"/>
        </w:rPr>
        <w:t>ue</w:t>
      </w:r>
      <w:r w:rsidRPr="000B32EA">
        <w:rPr>
          <w:lang w:val="en-IE"/>
        </w:rPr>
        <w:t>": This field shall contain a number denoting a monetary value (without value added tax) and a currency code from a list of currency codes.</w:t>
      </w:r>
    </w:p>
    <w:p w:rsidR="006340BB" w:rsidRDefault="006340BB" w:rsidP="006340BB">
      <w:pPr>
        <w:ind w:left="720"/>
      </w:pPr>
      <w:r w:rsidRPr="006537A1">
        <w:rPr>
          <w:lang w:val="en-IE"/>
        </w:rPr>
        <w:t xml:space="preserve">Formats and procedures for sending notices, as </w:t>
      </w:r>
      <w:r>
        <w:rPr>
          <w:lang w:val="en-IE"/>
        </w:rPr>
        <w:t xml:space="preserve">mentioned above, </w:t>
      </w:r>
      <w:r>
        <w:t xml:space="preserve">shall also specify the applicable codelists and identifiers. </w:t>
      </w:r>
    </w:p>
    <w:p w:rsidR="006340BB" w:rsidRDefault="006340BB" w:rsidP="006340BB">
      <w:pPr>
        <w:ind w:left="720"/>
        <w:rPr>
          <w:lang w:val="en-IE"/>
        </w:rPr>
      </w:pPr>
      <w:r w:rsidRPr="000B32EA">
        <w:rPr>
          <w:lang w:val="en-IE"/>
        </w:rPr>
        <w:t>Certain data types (</w:t>
      </w:r>
      <w:r>
        <w:rPr>
          <w:lang w:val="en-IE"/>
        </w:rPr>
        <w:t>e</w:t>
      </w:r>
      <w:r w:rsidRPr="000B32EA">
        <w:rPr>
          <w:lang w:val="en-IE"/>
        </w:rPr>
        <w:t>.</w:t>
      </w:r>
      <w:r>
        <w:rPr>
          <w:lang w:val="en-IE"/>
        </w:rPr>
        <w:t>g</w:t>
      </w:r>
      <w:r w:rsidRPr="000B32EA">
        <w:rPr>
          <w:lang w:val="en-IE"/>
        </w:rPr>
        <w:t xml:space="preserve">. Date, </w:t>
      </w:r>
      <w:r>
        <w:rPr>
          <w:lang w:val="en-IE"/>
        </w:rPr>
        <w:t xml:space="preserve">Duration, </w:t>
      </w:r>
      <w:r w:rsidRPr="000B32EA">
        <w:rPr>
          <w:lang w:val="en-IE"/>
        </w:rPr>
        <w:t>Id</w:t>
      </w:r>
      <w:r>
        <w:rPr>
          <w:lang w:val="en-IE"/>
        </w:rPr>
        <w:t>entifier</w:t>
      </w:r>
      <w:r w:rsidRPr="000B32EA">
        <w:rPr>
          <w:lang w:val="en-IE"/>
        </w:rPr>
        <w:t>,</w:t>
      </w:r>
      <w:r>
        <w:rPr>
          <w:lang w:val="en-IE"/>
        </w:rPr>
        <w:t xml:space="preserve"> Text,</w:t>
      </w:r>
      <w:r w:rsidRPr="000B32EA">
        <w:rPr>
          <w:lang w:val="en-IE"/>
        </w:rPr>
        <w:t xml:space="preserve"> V</w:t>
      </w:r>
      <w:r>
        <w:rPr>
          <w:lang w:val="en-IE"/>
        </w:rPr>
        <w:t>alue</w:t>
      </w:r>
      <w:r w:rsidRPr="000B32EA">
        <w:rPr>
          <w:lang w:val="en-IE"/>
        </w:rPr>
        <w:t>) may consist of multiple sub-fields.</w:t>
      </w:r>
    </w:p>
    <w:p w:rsidR="006340BB" w:rsidRPr="000B32EA" w:rsidRDefault="006340BB" w:rsidP="006340BB">
      <w:pPr>
        <w:pStyle w:val="Bullet0"/>
        <w:rPr>
          <w:lang w:val="en-IE"/>
        </w:rPr>
      </w:pPr>
      <w:r w:rsidRPr="000B32EA">
        <w:rPr>
          <w:lang w:val="en-IE"/>
        </w:rPr>
        <w:t>The remaining columns indicate for which standard forms these fields are mandatory ("M") and optional ("O"). The column headings</w:t>
      </w:r>
      <w:r>
        <w:rPr>
          <w:lang w:val="en-IE"/>
        </w:rPr>
        <w:t xml:space="preserve"> 1-36</w:t>
      </w:r>
      <w:r w:rsidRPr="000B32EA">
        <w:rPr>
          <w:lang w:val="en-IE"/>
        </w:rPr>
        <w:t xml:space="preserve"> correspond to the numbers in </w:t>
      </w:r>
      <w:r>
        <w:rPr>
          <w:lang w:val="en-IE"/>
        </w:rPr>
        <w:t xml:space="preserve">the second </w:t>
      </w:r>
      <w:r w:rsidRPr="000B32EA">
        <w:rPr>
          <w:lang w:val="en-IE"/>
        </w:rPr>
        <w:t>column of Table 1 of this Annex.</w:t>
      </w:r>
    </w:p>
    <w:p w:rsidR="006340BB" w:rsidRPr="000B32EA" w:rsidRDefault="006340BB" w:rsidP="006340BB">
      <w:pPr>
        <w:pStyle w:val="ManualHeading1"/>
        <w:rPr>
          <w:lang w:val="en-IE"/>
        </w:rPr>
      </w:pPr>
      <w:r w:rsidRPr="000B32EA">
        <w:rPr>
          <w:lang w:val="en-IE"/>
        </w:rPr>
        <w:t>T</w:t>
      </w:r>
      <w:r>
        <w:rPr>
          <w:lang w:val="en-IE"/>
        </w:rPr>
        <w:t>erminology</w:t>
      </w:r>
    </w:p>
    <w:p w:rsidR="008E1B29" w:rsidRPr="008E1B29" w:rsidRDefault="008E1B29" w:rsidP="008E1B29">
      <w:pPr>
        <w:pStyle w:val="Bullet0"/>
        <w:rPr>
          <w:lang w:val="en-IE"/>
        </w:rPr>
      </w:pPr>
      <w:r w:rsidRPr="000B32EA">
        <w:rPr>
          <w:lang w:val="en-IE"/>
        </w:rPr>
        <w:t>"Buyer" refers to a</w:t>
      </w:r>
      <w:r w:rsidRPr="008E1B29">
        <w:rPr>
          <w:lang w:val="en-IE"/>
        </w:rPr>
        <w:t xml:space="preserve"> </w:t>
      </w:r>
      <w:r>
        <w:rPr>
          <w:lang w:val="en-IE"/>
        </w:rPr>
        <w:t>c</w:t>
      </w:r>
      <w:r w:rsidRPr="008E1B29">
        <w:rPr>
          <w:lang w:val="en-IE"/>
        </w:rPr>
        <w:t xml:space="preserve">ontracting authority, </w:t>
      </w:r>
      <w:r>
        <w:rPr>
          <w:lang w:val="en-IE"/>
        </w:rPr>
        <w:t xml:space="preserve">a </w:t>
      </w:r>
      <w:r w:rsidRPr="008E1B29">
        <w:rPr>
          <w:lang w:val="en-IE"/>
        </w:rPr>
        <w:t>contracting entity, a defence contractor, an international organisation, or an organisation awarding a contract subsidized by a contracting authority.”</w:t>
      </w:r>
    </w:p>
    <w:p w:rsidR="006340BB" w:rsidRPr="000B32EA" w:rsidRDefault="006340BB" w:rsidP="006340BB">
      <w:pPr>
        <w:pStyle w:val="Bullet0"/>
        <w:rPr>
          <w:lang w:val="en-IE"/>
        </w:rPr>
      </w:pPr>
      <w:r w:rsidRPr="000B32EA">
        <w:rPr>
          <w:lang w:val="en-IE"/>
        </w:rPr>
        <w:t xml:space="preserve">“Procurement procedure” refers to a </w:t>
      </w:r>
      <w:r>
        <w:rPr>
          <w:lang w:val="en-IE"/>
        </w:rPr>
        <w:t xml:space="preserve">procurement procedure or a </w:t>
      </w:r>
      <w:r w:rsidRPr="000B32EA">
        <w:rPr>
          <w:lang w:val="en-IE"/>
        </w:rPr>
        <w:t xml:space="preserve">design contest. </w:t>
      </w:r>
    </w:p>
    <w:p w:rsidR="006340BB" w:rsidRPr="000B32EA" w:rsidRDefault="006340BB" w:rsidP="006340BB">
      <w:pPr>
        <w:pStyle w:val="Bullet0"/>
        <w:rPr>
          <w:lang w:val="en-IE"/>
        </w:rPr>
      </w:pPr>
      <w:r w:rsidRPr="000B32EA">
        <w:rPr>
          <w:lang w:val="en-IE"/>
        </w:rPr>
        <w:t xml:space="preserve">"Tender" refers to a </w:t>
      </w:r>
      <w:r>
        <w:rPr>
          <w:lang w:val="en-IE"/>
        </w:rPr>
        <w:t xml:space="preserve">tender or </w:t>
      </w:r>
      <w:r w:rsidRPr="000B32EA">
        <w:rPr>
          <w:lang w:val="en-IE"/>
        </w:rPr>
        <w:t>(in case of design contests)</w:t>
      </w:r>
      <w:r>
        <w:rPr>
          <w:lang w:val="en-IE"/>
        </w:rPr>
        <w:t xml:space="preserve"> a </w:t>
      </w:r>
      <w:r w:rsidRPr="000B32EA">
        <w:rPr>
          <w:lang w:val="en-IE"/>
        </w:rPr>
        <w:t>project.</w:t>
      </w:r>
    </w:p>
    <w:p w:rsidR="006340BB" w:rsidRPr="000B32EA" w:rsidRDefault="006340BB" w:rsidP="006340BB">
      <w:pPr>
        <w:pStyle w:val="Bullet0"/>
        <w:rPr>
          <w:lang w:val="en-IE"/>
        </w:rPr>
      </w:pPr>
      <w:r w:rsidRPr="000B32EA">
        <w:rPr>
          <w:lang w:val="en-IE"/>
        </w:rPr>
        <w:t xml:space="preserve">"Request to participate" refers to </w:t>
      </w:r>
      <w:r>
        <w:rPr>
          <w:lang w:val="en-IE"/>
        </w:rPr>
        <w:t xml:space="preserve">a request to participate or </w:t>
      </w:r>
      <w:r w:rsidRPr="000B32EA">
        <w:rPr>
          <w:lang w:val="en-IE"/>
        </w:rPr>
        <w:t>(in case of concessions)</w:t>
      </w:r>
      <w:r>
        <w:rPr>
          <w:lang w:val="en-IE"/>
        </w:rPr>
        <w:t xml:space="preserve"> </w:t>
      </w:r>
      <w:r w:rsidRPr="000B32EA">
        <w:rPr>
          <w:lang w:val="en-IE"/>
        </w:rPr>
        <w:t>an application.</w:t>
      </w:r>
    </w:p>
    <w:p w:rsidR="006340BB" w:rsidRPr="00E228B1" w:rsidRDefault="006340BB" w:rsidP="006340BB">
      <w:pPr>
        <w:pStyle w:val="Bullet0"/>
        <w:jc w:val="left"/>
        <w:rPr>
          <w:lang w:val="en-IE"/>
        </w:rPr>
        <w:sectPr w:rsidR="006340BB" w:rsidRPr="00E228B1" w:rsidSect="000F5B4A">
          <w:headerReference w:type="default" r:id="rId14"/>
          <w:footerReference w:type="default" r:id="rId15"/>
          <w:headerReference w:type="first" r:id="rId16"/>
          <w:footerReference w:type="first" r:id="rId17"/>
          <w:pgSz w:w="11907" w:h="16839"/>
          <w:pgMar w:top="1134" w:right="1417" w:bottom="1134" w:left="1417" w:header="709" w:footer="709" w:gutter="0"/>
          <w:cols w:space="720"/>
          <w:docGrid w:linePitch="360"/>
        </w:sectPr>
      </w:pPr>
      <w:r>
        <w:rPr>
          <w:lang w:val="en-IE"/>
        </w:rPr>
        <w:t>"</w:t>
      </w:r>
      <w:r w:rsidRPr="000B32EA">
        <w:rPr>
          <w:lang w:val="en-IE"/>
        </w:rPr>
        <w:t>TED</w:t>
      </w:r>
      <w:r>
        <w:rPr>
          <w:lang w:val="en-IE"/>
        </w:rPr>
        <w:t>"</w:t>
      </w:r>
      <w:r w:rsidRPr="000B32EA">
        <w:rPr>
          <w:lang w:val="en-IE"/>
        </w:rPr>
        <w:t xml:space="preserve"> </w:t>
      </w:r>
      <w:r>
        <w:rPr>
          <w:lang w:val="en-IE"/>
        </w:rPr>
        <w:t>(</w:t>
      </w:r>
      <w:r w:rsidRPr="000B32EA">
        <w:rPr>
          <w:lang w:val="en-IE"/>
        </w:rPr>
        <w:t>Tenders Electronic Daily</w:t>
      </w:r>
      <w:r>
        <w:rPr>
          <w:lang w:val="en-IE"/>
        </w:rPr>
        <w:t>)</w:t>
      </w:r>
      <w:r w:rsidRPr="000B32EA">
        <w:rPr>
          <w:lang w:val="en-IE"/>
        </w:rPr>
        <w:t xml:space="preserve"> </w:t>
      </w:r>
      <w:r>
        <w:rPr>
          <w:lang w:val="en-IE"/>
        </w:rPr>
        <w:t xml:space="preserve">is </w:t>
      </w:r>
      <w:r w:rsidRPr="000B32EA">
        <w:rPr>
          <w:lang w:val="en-IE"/>
        </w:rPr>
        <w:t xml:space="preserve">the </w:t>
      </w:r>
      <w:r>
        <w:rPr>
          <w:lang w:val="en-IE"/>
        </w:rPr>
        <w:t>online version of the S</w:t>
      </w:r>
      <w:r w:rsidRPr="000B32EA">
        <w:rPr>
          <w:lang w:val="en-IE"/>
        </w:rPr>
        <w:t xml:space="preserve">upplement to the </w:t>
      </w:r>
      <w:r w:rsidRPr="000B32EA">
        <w:rPr>
          <w:i/>
          <w:lang w:val="en-IE"/>
        </w:rPr>
        <w:t>Official Journal of the European Union</w:t>
      </w:r>
      <w:r>
        <w:rPr>
          <w:i/>
          <w:lang w:val="en-IE"/>
        </w:rPr>
        <w:t>.</w:t>
      </w:r>
      <w:r>
        <w:rPr>
          <w:i/>
          <w:lang w:val="en-IE"/>
        </w:rPr>
        <w:br/>
        <w:t>.</w:t>
      </w:r>
    </w:p>
    <w:p w:rsidR="006340BB" w:rsidRDefault="006340BB" w:rsidP="006340BB">
      <w:pPr>
        <w:spacing w:before="0" w:after="200" w:line="276" w:lineRule="auto"/>
        <w:jc w:val="left"/>
        <w:rPr>
          <w:i/>
          <w:lang w:val="en-IE"/>
        </w:rPr>
      </w:pPr>
      <w:r w:rsidRPr="000B32EA">
        <w:rPr>
          <w:i/>
          <w:lang w:val="en-IE"/>
        </w:rPr>
        <w:t>Note: This table is available on the Commission website with additional information in an easier-to-read spreadsheet format.</w:t>
      </w:r>
    </w:p>
    <w:p w:rsidR="006340BB" w:rsidRPr="0019282E" w:rsidRDefault="006340BB" w:rsidP="006340BB">
      <w:pPr>
        <w:pStyle w:val="Caption"/>
        <w:keepNext/>
        <w:spacing w:after="0"/>
        <w:rPr>
          <w:color w:val="auto"/>
          <w:lang w:val="en-IE"/>
        </w:rPr>
      </w:pPr>
      <w:r w:rsidRPr="000B32EA">
        <w:rPr>
          <w:color w:val="auto"/>
          <w:lang w:val="en-IE"/>
        </w:rPr>
        <w:t xml:space="preserve">Table </w:t>
      </w:r>
      <w:r w:rsidRPr="000B32EA">
        <w:rPr>
          <w:color w:val="auto"/>
          <w:lang w:val="en-IE"/>
        </w:rPr>
        <w:fldChar w:fldCharType="begin"/>
      </w:r>
      <w:r w:rsidRPr="000B32EA">
        <w:rPr>
          <w:color w:val="auto"/>
          <w:lang w:val="en-IE"/>
        </w:rPr>
        <w:instrText xml:space="preserve"> SEQ Table \* ARABIC </w:instrText>
      </w:r>
      <w:r w:rsidRPr="000B32EA">
        <w:rPr>
          <w:color w:val="auto"/>
          <w:lang w:val="en-IE"/>
        </w:rPr>
        <w:fldChar w:fldCharType="separate"/>
      </w:r>
      <w:r w:rsidR="000F5B4A">
        <w:rPr>
          <w:noProof/>
          <w:color w:val="auto"/>
          <w:lang w:val="en-IE"/>
        </w:rPr>
        <w:t>2</w:t>
      </w:r>
      <w:r w:rsidRPr="000B32EA">
        <w:rPr>
          <w:color w:val="auto"/>
          <w:lang w:val="en-IE"/>
        </w:rPr>
        <w:fldChar w:fldCharType="end"/>
      </w:r>
      <w:r>
        <w:rPr>
          <w:color w:val="auto"/>
          <w:lang w:val="en-IE"/>
        </w:rPr>
        <w:t xml:space="preserve"> - Fields in standard forms</w:t>
      </w:r>
    </w:p>
    <w:tbl>
      <w:tblPr>
        <w:tblW w:w="5000" w:type="pct"/>
        <w:tblCellMar>
          <w:left w:w="0" w:type="dxa"/>
          <w:right w:w="0" w:type="dxa"/>
        </w:tblCellMar>
        <w:tblLook w:val="04A0" w:firstRow="1" w:lastRow="0" w:firstColumn="1" w:lastColumn="0" w:noHBand="0" w:noVBand="1"/>
      </w:tblPr>
      <w:tblGrid>
        <w:gridCol w:w="410"/>
        <w:gridCol w:w="4258"/>
        <w:gridCol w:w="2785"/>
        <w:gridCol w:w="663"/>
        <w:gridCol w:w="171"/>
        <w:gridCol w:w="153"/>
        <w:gridCol w:w="153"/>
        <w:gridCol w:w="153"/>
        <w:gridCol w:w="153"/>
        <w:gridCol w:w="153"/>
        <w:gridCol w:w="153"/>
        <w:gridCol w:w="171"/>
        <w:gridCol w:w="171"/>
        <w:gridCol w:w="188"/>
        <w:gridCol w:w="188"/>
        <w:gridCol w:w="170"/>
        <w:gridCol w:w="188"/>
        <w:gridCol w:w="205"/>
        <w:gridCol w:w="188"/>
        <w:gridCol w:w="170"/>
        <w:gridCol w:w="170"/>
        <w:gridCol w:w="188"/>
        <w:gridCol w:w="188"/>
        <w:gridCol w:w="188"/>
        <w:gridCol w:w="205"/>
        <w:gridCol w:w="188"/>
        <w:gridCol w:w="282"/>
        <w:gridCol w:w="188"/>
        <w:gridCol w:w="170"/>
        <w:gridCol w:w="170"/>
        <w:gridCol w:w="188"/>
        <w:gridCol w:w="188"/>
        <w:gridCol w:w="170"/>
        <w:gridCol w:w="170"/>
        <w:gridCol w:w="188"/>
        <w:gridCol w:w="188"/>
        <w:gridCol w:w="170"/>
        <w:gridCol w:w="188"/>
        <w:gridCol w:w="188"/>
        <w:gridCol w:w="198"/>
      </w:tblGrid>
      <w:tr w:rsidR="00C627F5" w:rsidRPr="002C6173" w:rsidTr="00DE4D61">
        <w:trPr>
          <w:trHeight w:val="280"/>
          <w:tblHeader/>
        </w:trPr>
        <w:tc>
          <w:tcPr>
            <w:tcW w:w="140" w:type="pct"/>
            <w:vMerge w:val="restart"/>
            <w:tcBorders>
              <w:top w:val="double" w:sz="6" w:space="0" w:color="auto"/>
              <w:left w:val="double" w:sz="6" w:space="0" w:color="auto"/>
              <w:bottom w:val="nil"/>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Level</w:t>
            </w:r>
          </w:p>
        </w:tc>
        <w:tc>
          <w:tcPr>
            <w:tcW w:w="1457" w:type="pct"/>
            <w:vMerge w:val="restart"/>
            <w:tcBorders>
              <w:top w:val="double" w:sz="6" w:space="0" w:color="auto"/>
              <w:left w:val="double" w:sz="6" w:space="0" w:color="auto"/>
              <w:bottom w:val="nil"/>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Name</w:t>
            </w:r>
          </w:p>
        </w:tc>
        <w:tc>
          <w:tcPr>
            <w:tcW w:w="955" w:type="pct"/>
            <w:vMerge w:val="restart"/>
            <w:tcBorders>
              <w:top w:val="double" w:sz="6" w:space="0" w:color="auto"/>
              <w:left w:val="nil"/>
              <w:bottom w:val="nil"/>
              <w:right w:val="double" w:sz="6" w:space="0" w:color="auto"/>
            </w:tcBorders>
            <w:shd w:val="clear" w:color="auto" w:fill="D9D9D9" w:themeFill="background1" w:themeFillShade="D9"/>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Description</w:t>
            </w:r>
          </w:p>
        </w:tc>
        <w:tc>
          <w:tcPr>
            <w:tcW w:w="227" w:type="pct"/>
            <w:vMerge w:val="restart"/>
            <w:tcBorders>
              <w:top w:val="double" w:sz="6" w:space="0" w:color="auto"/>
              <w:left w:val="double" w:sz="6" w:space="0" w:color="auto"/>
              <w:bottom w:val="nil"/>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Data type</w:t>
            </w:r>
          </w:p>
        </w:tc>
        <w:tc>
          <w:tcPr>
            <w:tcW w:w="431" w:type="pct"/>
            <w:gridSpan w:val="8"/>
            <w:tcBorders>
              <w:top w:val="double" w:sz="6" w:space="0" w:color="auto"/>
              <w:left w:val="nil"/>
              <w:bottom w:val="double" w:sz="6" w:space="0" w:color="auto"/>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Planning</w:t>
            </w:r>
          </w:p>
        </w:tc>
        <w:tc>
          <w:tcPr>
            <w:tcW w:w="982" w:type="pct"/>
            <w:gridSpan w:val="15"/>
            <w:tcBorders>
              <w:top w:val="double" w:sz="6" w:space="0" w:color="auto"/>
              <w:left w:val="nil"/>
              <w:bottom w:val="double" w:sz="6" w:space="0" w:color="auto"/>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Competition</w:t>
            </w:r>
          </w:p>
        </w:tc>
        <w:tc>
          <w:tcPr>
            <w:tcW w:w="245" w:type="pct"/>
            <w:gridSpan w:val="4"/>
            <w:tcBorders>
              <w:top w:val="double" w:sz="6" w:space="0" w:color="auto"/>
              <w:left w:val="nil"/>
              <w:bottom w:val="double" w:sz="6" w:space="0" w:color="auto"/>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DAP</w:t>
            </w:r>
          </w:p>
        </w:tc>
        <w:tc>
          <w:tcPr>
            <w:tcW w:w="563" w:type="pct"/>
            <w:gridSpan w:val="9"/>
            <w:tcBorders>
              <w:top w:val="double" w:sz="6" w:space="0" w:color="auto"/>
              <w:left w:val="nil"/>
              <w:bottom w:val="double" w:sz="6" w:space="0" w:color="auto"/>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Result</w:t>
            </w:r>
          </w:p>
        </w:tc>
      </w:tr>
      <w:tr w:rsidR="00CE433F" w:rsidRPr="002C6173" w:rsidTr="00DE4D61">
        <w:trPr>
          <w:trHeight w:val="280"/>
          <w:tblHeader/>
        </w:trPr>
        <w:tc>
          <w:tcPr>
            <w:tcW w:w="140" w:type="pct"/>
            <w:vMerge/>
            <w:tcBorders>
              <w:top w:val="double" w:sz="6" w:space="0" w:color="auto"/>
              <w:left w:val="double" w:sz="6" w:space="0" w:color="auto"/>
              <w:bottom w:val="nil"/>
              <w:right w:val="nil"/>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p>
        </w:tc>
        <w:tc>
          <w:tcPr>
            <w:tcW w:w="1457" w:type="pct"/>
            <w:vMerge/>
            <w:tcBorders>
              <w:top w:val="double" w:sz="6" w:space="0" w:color="auto"/>
              <w:left w:val="double" w:sz="6" w:space="0" w:color="auto"/>
              <w:bottom w:val="nil"/>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p>
        </w:tc>
        <w:tc>
          <w:tcPr>
            <w:tcW w:w="955" w:type="pct"/>
            <w:vMerge/>
            <w:tcBorders>
              <w:top w:val="double" w:sz="6" w:space="0" w:color="auto"/>
              <w:left w:val="nil"/>
              <w:bottom w:val="nil"/>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p>
        </w:tc>
        <w:tc>
          <w:tcPr>
            <w:tcW w:w="227" w:type="pct"/>
            <w:vMerge/>
            <w:tcBorders>
              <w:top w:val="double" w:sz="6" w:space="0" w:color="auto"/>
              <w:left w:val="double" w:sz="6" w:space="0" w:color="auto"/>
              <w:bottom w:val="nil"/>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p>
        </w:tc>
        <w:tc>
          <w:tcPr>
            <w:tcW w:w="58" w:type="pct"/>
            <w:tcBorders>
              <w:top w:val="nil"/>
              <w:left w:val="nil"/>
              <w:bottom w:val="double" w:sz="6" w:space="0" w:color="auto"/>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w:t>
            </w:r>
          </w:p>
        </w:tc>
        <w:tc>
          <w:tcPr>
            <w:tcW w:w="52" w:type="pct"/>
            <w:tcBorders>
              <w:top w:val="nil"/>
              <w:left w:val="single" w:sz="4" w:space="0" w:color="auto"/>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w:t>
            </w:r>
          </w:p>
        </w:tc>
        <w:tc>
          <w:tcPr>
            <w:tcW w:w="52"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3</w:t>
            </w:r>
          </w:p>
        </w:tc>
        <w:tc>
          <w:tcPr>
            <w:tcW w:w="52"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4</w:t>
            </w:r>
          </w:p>
        </w:tc>
        <w:tc>
          <w:tcPr>
            <w:tcW w:w="52"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5</w:t>
            </w:r>
          </w:p>
        </w:tc>
        <w:tc>
          <w:tcPr>
            <w:tcW w:w="52"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6</w:t>
            </w:r>
          </w:p>
        </w:tc>
        <w:tc>
          <w:tcPr>
            <w:tcW w:w="52"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7</w:t>
            </w:r>
          </w:p>
        </w:tc>
        <w:tc>
          <w:tcPr>
            <w:tcW w:w="58"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8</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9</w:t>
            </w:r>
          </w:p>
        </w:tc>
        <w:tc>
          <w:tcPr>
            <w:tcW w:w="64"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10</w:t>
            </w:r>
          </w:p>
        </w:tc>
        <w:tc>
          <w:tcPr>
            <w:tcW w:w="64"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11</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12</w:t>
            </w:r>
          </w:p>
        </w:tc>
        <w:tc>
          <w:tcPr>
            <w:tcW w:w="64"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13</w:t>
            </w:r>
          </w:p>
        </w:tc>
        <w:tc>
          <w:tcPr>
            <w:tcW w:w="70"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14</w:t>
            </w:r>
          </w:p>
        </w:tc>
        <w:tc>
          <w:tcPr>
            <w:tcW w:w="64"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15</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16</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17</w:t>
            </w:r>
          </w:p>
        </w:tc>
        <w:tc>
          <w:tcPr>
            <w:tcW w:w="64"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18</w:t>
            </w:r>
          </w:p>
        </w:tc>
        <w:tc>
          <w:tcPr>
            <w:tcW w:w="64"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19</w:t>
            </w:r>
          </w:p>
        </w:tc>
        <w:tc>
          <w:tcPr>
            <w:tcW w:w="64"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20</w:t>
            </w:r>
          </w:p>
        </w:tc>
        <w:tc>
          <w:tcPr>
            <w:tcW w:w="70"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21</w:t>
            </w:r>
          </w:p>
        </w:tc>
        <w:tc>
          <w:tcPr>
            <w:tcW w:w="64"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22</w:t>
            </w:r>
          </w:p>
        </w:tc>
        <w:tc>
          <w:tcPr>
            <w:tcW w:w="95"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23</w:t>
            </w:r>
          </w:p>
        </w:tc>
        <w:tc>
          <w:tcPr>
            <w:tcW w:w="64"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24</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25</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26</w:t>
            </w:r>
          </w:p>
        </w:tc>
        <w:tc>
          <w:tcPr>
            <w:tcW w:w="64"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27</w:t>
            </w:r>
          </w:p>
        </w:tc>
        <w:tc>
          <w:tcPr>
            <w:tcW w:w="64"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28</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29</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30</w:t>
            </w:r>
          </w:p>
        </w:tc>
        <w:tc>
          <w:tcPr>
            <w:tcW w:w="64"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31</w:t>
            </w:r>
          </w:p>
        </w:tc>
        <w:tc>
          <w:tcPr>
            <w:tcW w:w="64"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32</w:t>
            </w:r>
          </w:p>
        </w:tc>
        <w:tc>
          <w:tcPr>
            <w:tcW w:w="58"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33</w:t>
            </w:r>
          </w:p>
        </w:tc>
        <w:tc>
          <w:tcPr>
            <w:tcW w:w="64"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34</w:t>
            </w:r>
          </w:p>
        </w:tc>
        <w:tc>
          <w:tcPr>
            <w:tcW w:w="64" w:type="pct"/>
            <w:tcBorders>
              <w:top w:val="nil"/>
              <w:left w:val="nil"/>
              <w:bottom w:val="double" w:sz="6" w:space="0" w:color="auto"/>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35</w:t>
            </w:r>
          </w:p>
        </w:tc>
        <w:tc>
          <w:tcPr>
            <w:tcW w:w="67" w:type="pct"/>
            <w:tcBorders>
              <w:top w:val="nil"/>
              <w:left w:val="nil"/>
              <w:bottom w:val="double" w:sz="6" w:space="0" w:color="auto"/>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36</w:t>
            </w:r>
          </w:p>
        </w:tc>
      </w:tr>
      <w:tr w:rsidR="00CE433F" w:rsidRPr="002C6173" w:rsidTr="00DE4D61">
        <w:trPr>
          <w:trHeight w:val="270"/>
        </w:trPr>
        <w:tc>
          <w:tcPr>
            <w:tcW w:w="140" w:type="pct"/>
            <w:tcBorders>
              <w:top w:val="single" w:sz="4" w:space="0" w:color="EEECE1"/>
              <w:left w:val="double" w:sz="6" w:space="0" w:color="auto"/>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single" w:sz="4" w:space="0" w:color="EEECE1"/>
              <w:left w:val="double" w:sz="6" w:space="0" w:color="auto"/>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Notice</w:t>
            </w:r>
          </w:p>
        </w:tc>
        <w:tc>
          <w:tcPr>
            <w:tcW w:w="955" w:type="pct"/>
            <w:tcBorders>
              <w:top w:val="single" w:sz="4" w:space="0" w:color="EEECE1"/>
              <w:left w:val="nil"/>
              <w:bottom w:val="single" w:sz="4" w:space="0" w:color="EEECE1"/>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Basic information about the notice.</w:t>
            </w:r>
          </w:p>
        </w:tc>
        <w:tc>
          <w:tcPr>
            <w:tcW w:w="227" w:type="pct"/>
            <w:tcBorders>
              <w:top w:val="single" w:sz="4" w:space="0" w:color="EEECE1"/>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single" w:sz="4" w:space="0" w:color="EEECE1"/>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single" w:sz="4" w:space="0" w:color="EEECE1"/>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single" w:sz="4" w:space="0" w:color="EEECE1"/>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single" w:sz="4" w:space="0" w:color="EEECE1"/>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single" w:sz="4" w:space="0" w:color="EEECE1"/>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single" w:sz="4" w:space="0" w:color="EEECE1"/>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single" w:sz="4" w:space="0" w:color="EEECE1"/>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Procedure Identifier</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European Public Procurement Procedure Identifier, a unique identifier of a procurement procedure. Including this identifier in all published versions of this notice (e.g. published on TED, national publication portals, regional publication portals) allows unique identification of procurement procedures around the EU.</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Notice Identifier</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8E7A7F">
            <w:pPr>
              <w:spacing w:before="0" w:after="0"/>
              <w:jc w:val="left"/>
              <w:rPr>
                <w:rFonts w:eastAsia="Times New Roman"/>
                <w:sz w:val="16"/>
                <w:szCs w:val="16"/>
                <w:lang w:val="en-US"/>
              </w:rPr>
            </w:pPr>
            <w:r w:rsidRPr="002C6173">
              <w:rPr>
                <w:rFonts w:eastAsia="Times New Roman"/>
                <w:sz w:val="16"/>
                <w:szCs w:val="16"/>
                <w:lang w:val="en-US"/>
              </w:rPr>
              <w:t xml:space="preserve">The European Public Procurement Notice Identifier of this notice. Including this identifier in all published version of this notice (e.g. TED, national publication portals, regional publication portals) allows unique identification of procurement </w:t>
            </w:r>
            <w:r w:rsidR="008E7A7F">
              <w:rPr>
                <w:rFonts w:eastAsia="Times New Roman"/>
                <w:sz w:val="16"/>
                <w:szCs w:val="16"/>
                <w:lang w:val="en-US"/>
              </w:rPr>
              <w:t>notices</w:t>
            </w:r>
            <w:r w:rsidRPr="002C6173">
              <w:rPr>
                <w:rFonts w:eastAsia="Times New Roman"/>
                <w:sz w:val="16"/>
                <w:szCs w:val="16"/>
                <w:lang w:val="en-US"/>
              </w:rPr>
              <w:t xml:space="preserve"> around the EU.</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Procedure Legal Basis</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Legal basis (e.g. a European Directive or Regulation, national law) under which the procurement procedure takes place.</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Form Type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Type of form according to procurement legislation.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Notice Type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Type of notice according to procurement legislation.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Notice Dispatch Date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date and time when the notice has been sent to TED.</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Notice Publication Date Preferred</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The preferred date of publication of the notice on TED (e.g. to avoid publication during a national holiday). </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Notice Official Language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language(s) in which this notice is officially available. These linguistic versions are equally legally valid.</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Previous Planning</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Information about a prior information notice, a periodic indicative notice or another similar notice related to this notice.</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Previous Planning Identifier</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Identifier of a prior information notice, a periodic indicative notice or another similar notice related to this notice.</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Previous Planning Part Identifier</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Identifier of a part of a prior information notice, a periodic indicative notice or another similar notice related to this notice.</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Organisation</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Information about the organisation.</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Name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official name of the organisation.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Identifier</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An identifier of the organisation. All of the organisation's identifiers shall be given.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Part Name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name of a part of an organisation (e.g. the relevant department of a large buyer).</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Street Name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name of the street, road, avenue, etc., of the organisation's physical address.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Street Number</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number of the building of the organisation's physical address.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City</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name of the locality (city, town or village) of the organisation's physical address.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Post Code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post code of the organisation's physical address.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Country Subdivision</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location according to the common classification of territorial units for statistics (NUTS) of the organisation's physical address. The NUTS3 classification code must be used.</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Country Code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country of the organisation's physical address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Contact Point</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name of the department or other contact point for communicating with the organisation. To avoid unnecessary processing of personal data, the contact point may allow the identification of a physical person only when necessary (in the sense of the General Data Protection Regulation).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Contact Email Address</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email for contacting the organisation. To avoid unnecessary processing of personal data, the email may allow the identification of a physical person only when necessary (in the sense of the General Data Protection Regulation).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60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Contact Telephone Number</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telephone for contacting the organisation. To avoid unnecessary processing of personal data, the telephone may allow the identification of a physical person only when necessary (in the sense of the General Data Protection Regulation).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57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Contact Fax</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fax for contacting the organisation. To avoid unnecessary processing of personal data, the fax may allow the identification of a physical person only when necessary (in the sense of the General Data Protection Regulation).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Internet Address</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website of the organisation.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eDelivery Gateway</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organisation's uniform resource locator for exchange of data and documents.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Organisation Role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role of the organisation in the procurement procedure (e.g. buyer, contractor). A notice must contain all organisations in the procedure that have the role of a buyer; a winner; a review body; a buyer acquiring supplies and/or services intended for other buyers; a buyer awarding public contracts or concluding framework agreements for works, supplies or services intended for other buyers; or a consortium member or leader.</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Buyer</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Additional information about the buyer.</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4A3DD1" w:rsidP="002C6173">
            <w:pPr>
              <w:spacing w:before="0" w:after="0"/>
              <w:jc w:val="center"/>
              <w:rPr>
                <w:rFonts w:eastAsia="Times New Roman"/>
                <w:sz w:val="16"/>
                <w:szCs w:val="16"/>
                <w:lang w:val="en-US"/>
              </w:rPr>
            </w:pPr>
            <w:r>
              <w:rPr>
                <w:rFonts w:eastAsia="Times New Roman"/>
                <w:sz w:val="16"/>
                <w:szCs w:val="16"/>
                <w:lang w:val="en-US"/>
              </w:rPr>
              <w:t>-</w:t>
            </w:r>
            <w:r w:rsidR="002C6173" w:rsidRPr="002C6173">
              <w:rPr>
                <w:rFonts w:eastAsia="Times New Roman"/>
                <w:sz w:val="16"/>
                <w:szCs w:val="16"/>
                <w:lang w:val="en-US"/>
              </w:rPr>
              <w:t> </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Buyer Profile URL</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Website where the buyer publishes information regarding procurement procedures (e.g. notices, procurement documents).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Buyer Legal Type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Type of buyer according to procurement legislation (e.g. central government authority, body governed by public law, public undertaking).</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084750" w:rsidP="002C6173">
            <w:pPr>
              <w:spacing w:before="0" w:after="0"/>
              <w:jc w:val="center"/>
              <w:rPr>
                <w:rFonts w:eastAsia="Times New Roman"/>
                <w:sz w:val="16"/>
                <w:szCs w:val="16"/>
                <w:lang w:val="en-US"/>
              </w:rPr>
            </w:pPr>
            <w:r>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Buyer Contracting Entity </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buyer is a contracting entity.</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084750" w:rsidP="002C6173">
            <w:pPr>
              <w:spacing w:before="0" w:after="0"/>
              <w:jc w:val="center"/>
              <w:rPr>
                <w:rFonts w:eastAsia="Times New Roman"/>
                <w:sz w:val="16"/>
                <w:szCs w:val="16"/>
                <w:lang w:val="en-US"/>
              </w:rPr>
            </w:pPr>
            <w:r>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Activity Authority</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main activity of the contracting authority.</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Activity Entity</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main activity of the contracting entity.</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Winner</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Additional information about the winner.</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r w:rsidR="004A3DD1">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Winner Size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size of the winner (e.g. micro enterprise, small enterprise, medium enterprise).</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61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Winner Owner Nationality</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nationality (or nationalities) of the beneficiary owner(s) of the winner(s), as published in the register(s) established by anti-money laundering legislation. If such a register does not exist (e.g. in case of non-EU contractors) then equivalent information from other sources.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9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Winner Listed</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The nationality (or nationalities) of the beneficiary owner(s) of the winner(s) is not published in the register(s) established by anti-money laundering legislation, because the winner is listed on a regulated market (e.g. a stock exchange) that ensures adequate transparency in line with anti-money laundering legislation.</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Purpose</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Information about the purpose of the procurement procedure and, if they exist, individual lots.</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885"/>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Internal Identifier</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The internal identifier used for files regarding the procurement procedure or lot before a procedure identifier is given (e.g. coming from the buyer's document management system or procurement planning system). </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90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Main Nature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Main nature (e.g. works) of what is being bought. In case of mixed procurement (e.g. a procedure for both works and services), the main nature may be, for example, the one with the highest estimated value. This information must be given for the whole procedure.</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Additional Nature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Nature (e.g. services) of what is being bought, additional to Main Nature.</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Title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Name of the procurement procedure or lot.</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Description</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Description of the nature and quantity of what is being bought or of the needs and requirements that should be met in this procedure or lot.</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 xml:space="preserve">    Estimated Value</w:t>
            </w:r>
          </w:p>
        </w:tc>
        <w:tc>
          <w:tcPr>
            <w:tcW w:w="955" w:type="pct"/>
            <w:tcBorders>
              <w:top w:val="nil"/>
              <w:left w:val="nil"/>
              <w:bottom w:val="single" w:sz="4" w:space="0" w:color="EEECE1"/>
              <w:right w:val="double" w:sz="6" w:space="0" w:color="auto"/>
            </w:tcBorders>
            <w:shd w:val="clear" w:color="auto" w:fill="auto"/>
            <w:vAlign w:val="center"/>
            <w:hideMark/>
          </w:tcPr>
          <w:p w:rsidR="002C6173" w:rsidRPr="002C6173" w:rsidRDefault="002C6173" w:rsidP="002C6173">
            <w:pPr>
              <w:spacing w:before="0" w:after="0"/>
              <w:jc w:val="left"/>
              <w:rPr>
                <w:rFonts w:eastAsia="Times New Roman"/>
                <w:sz w:val="16"/>
                <w:szCs w:val="16"/>
                <w:lang w:val="en-US"/>
              </w:rPr>
            </w:pPr>
            <w:r w:rsidRPr="002C6173">
              <w:rPr>
                <w:rFonts w:eastAsia="Times New Roman"/>
                <w:sz w:val="16"/>
                <w:szCs w:val="16"/>
                <w:lang w:val="en-US"/>
              </w:rPr>
              <w:t>Estimated maximum value of the the procurement procedure or lot. Estimated refers to estimation at the time of launching the call for competition. Maximum value means a value covering all contracts to be awarded within a framework agreement or a dynamic purchasing system, over their whole duration, including options and renewals.</w:t>
            </w:r>
          </w:p>
        </w:tc>
        <w:tc>
          <w:tcPr>
            <w:tcW w:w="22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2C6173" w:rsidRPr="002C6173" w:rsidRDefault="002C6173" w:rsidP="002C6173">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Framework Estimated Maximum Value</w:t>
            </w:r>
          </w:p>
        </w:tc>
        <w:tc>
          <w:tcPr>
            <w:tcW w:w="955" w:type="pct"/>
            <w:tcBorders>
              <w:top w:val="nil"/>
              <w:left w:val="nil"/>
              <w:bottom w:val="single" w:sz="4" w:space="0" w:color="EEECE1"/>
              <w:right w:val="double" w:sz="6" w:space="0" w:color="auto"/>
            </w:tcBorders>
            <w:shd w:val="clear" w:color="auto" w:fill="D9D9D9" w:themeFill="background1" w:themeFillShade="D9"/>
            <w:vAlign w:val="center"/>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estimated maximum value which can be spent in a framework agreement within a group of lots. This information can be provided when the estimated maximum value of a group of lots is lower than the sum of estimated values of individual lots in this group (e.g. when the same budget is shared for several lots).</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Framework Estimated Maximum Value Lot Identifier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Identifiers of lots within this procedure. These lots form a group whose estimated maximum value is lower than the sum of individual estimated maximum values of all the lots together (e.g. when the same budget is shared for several lots).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130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Framework Estimated Maximum Value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Estimated maximum value which can be spent in a framework agreement within a group of lots. This information can be provided when the estimated maximum value of a group of lots is lower than the sum of estimated values of individual lots in this group (e.g. when the same budget is shared for several lots). Estimated refers to estimation at the time of launching the call for competition. Maximum value means a value covering all contracts to be awarded within a framework agreement or a dynamic purchasing system, over their whole duration, including options and renewals.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104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Classification</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classification(s) describing the purchase. The common procurement vocabulary (CPV) classification type must be used. Additionally, other classifications (e.g. the World Health Organisation's anatomical therapeutic chemical (ATC) classification for pharmaceuticals; the medical devices nomenclature under the Regulation 2017/745) may, if made available by the Publications Office of the EU, be used.)</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Classification Type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type of classification describing the purchase (e.g. the common procurement vocabulary).</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Main Classification Code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 code from the classification that best characterizes the purchase.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Additional Classification Codes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Additional codes from the classification that also characterize the purchase.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Quantity</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number of units required.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Unit</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The unit which the good, service, or work comes in, for example hours or kilograms. Where CPV code is a supply which does not need a further unit (e.g. cars), then no unit needs to be given and quantity is taken to be a count, e.g. the "number of cars". </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Options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Whether the buyer reserves the right (not an obligation) for additional purchases from the contractor (while the contract is valid).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Options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Description of the options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Variants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Whether tenderers are required, allowed or forbidden to submit tenders which fulfil the buyer's needs differently than as proposed in the procurement documents. Further conditions for submitting variant tenders are in the procurement documents.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Recurrence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Procurement whose purpose is likely to also be included in another procedure in the foreseeable future. (For example, a regularly re-tendered municipal service. This does not include awarding multiple contracts within a single qualification system, framework agreement, or a dynamic purchasing system.)</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Recurrence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Any additional information about recurrence (e.g. estimated timing).</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78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Place of Performance</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Main location of works in case of works; main place of delivery or performance in case of supplies and services. If the place of performance covers several NUTS 3 areas (e.g. a highway, a national network of job centres), then all relevant codes must be given.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Place Street Name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name of the street, road, avenue, etc., of the place of performance.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Place Street Number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number of the building of the place of performance.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Place City</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name of the locality (city, town or village) of the place of performance.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Place Post Code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postcode of the place of performance.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Place Country Subdivision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location according to the common classification of territorial units for statistics (NUTS). The NUTS3 classification code must be used.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Place Country Code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country of the place of performance.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Place Services Other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There are other restrictions on the place of performance (e.g. "anywhere in the European Economic Area", "anywhere in the given country"). </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Place Additional Information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Additional information about the place of performance.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Duration</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duration of the contract, framework agreement, dynamic purchasing system or qualification system. This must include any options and renewals.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Duration Start Date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(estimated) date when the contract, framework agreement, dynamic purchasing system or qualification system will start.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Duration Period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(estimated) period from the start to the end of the contract, framework agreement, dynamic purchasing system or qualification system. This must include any options and renewals.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Duration</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Duration End Date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(estimated) date when the contract, framework agreement, dynamic purchasing system or qualification system will finish.</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Duration Other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Duration is unknown, unlimited, etc.</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Renewal</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maximum number of times the contract can be renewed. By renewing, the buyer reserves the right (i.e. not an obligation) to renew the contract (i.e. extend its duration) without a new procurement procedure. For example, a contract may be valid for one year and the buyer may keep a possibility to renew it (e.g. once, twice) for another three months, if he is content with the services he received.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Renewal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Any other information about the renewal(s).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EU Funds</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European Union funds used to finance the procurement. The most concrete information must be given (e.g. about concrete projects, not just operational programs.)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EU Funds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procurement  is at least partially financed by European Union funds such as the European Structural and Investment Funds or grants awarded by the European Union.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Procedure</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procurement procedure.</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Cross Border Law</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applicable law when buyers from different countries procure together within one procurement procedure.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Procedure Type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type of procurement procedure (e.g. according to the types given in the procurement Directives).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104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Procedure Features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Main features of the procedure (e.g. description of the individual stage(s)) and information about where the full rules for the procedure can be found. This information must be given when the procedure is not one of those mentioned in the procurement Directives. This can be the case for example for concessions, for social and other specific services, and in case of voluntary publication of procurement procedures below the EU procurement thresholds.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Procedure Accelerated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 procedure where the time limit for receipt of requests to participate or tenders can be reduced due to a state of urgency.</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Procedure Accelerated Justification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Justification for using an accelerated procedure.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Direct Award Justification Code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Justification for using a procedure which allows directly awarding contracts, i.e. a procedure that does not require publishing a call for competition in the Official Journal of the European Union.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Direct Award Justification Previous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An identifier of a previous procedure that justifies the use of a procedure which allows directly awarding contracts, i.e. justifying a procedure that does not require publishing a call for competition in the Official Journal of the European Union.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Direct Award Justification Text</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Justification for using a procedure which allows directly awarding contracts, i.e. a procedure that does not require publishing a call for competition in the Official Journal of the European Union.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Lots Max Allowed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Maximum number of lots for which one tenderer can submit tenders.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Lots Max Awarded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Maximum number of lots for which contract(s) can be awarded to one tenderer.</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78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Award</w:t>
            </w:r>
          </w:p>
        </w:tc>
        <w:tc>
          <w:tcPr>
            <w:tcW w:w="955" w:type="pct"/>
            <w:tcBorders>
              <w:top w:val="nil"/>
              <w:left w:val="nil"/>
              <w:bottom w:val="single" w:sz="4" w:space="0" w:color="EEECE1"/>
              <w:right w:val="double" w:sz="6" w:space="0" w:color="auto"/>
            </w:tcBorders>
            <w:shd w:val="clear" w:color="auto" w:fill="D9D9D9" w:themeFill="background1" w:themeFillShade="D9"/>
            <w:vAlign w:val="center"/>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Tenderers may submit tenders not only for individual lots, but also for the groups of lots given here. The buyer may then compare the tenders submitted for groups of lots with those for individual lots and evaluate which option best fulfils the award criteria. Each group of lots must have clear award criteria.</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Identifier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An identifier of a group of lots in the procedure.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Lot Identifier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An identifier of several lots within this procedure. These lots form a group of lots for which one tender can be submitted and evaluated.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Second Stage</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second stage of a two-stage procedure.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Minimum Candidates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Minimum number of candidates to be invited for the second stage of the procedure.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Maximum Candidates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Maximum number of candidates to be invited for the second stage of the procedure.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Successive Reduction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procedure will take place in successive stages. In each stage, some participants may be eliminated.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No Negotiation Necessary</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buyer reserves the right to award the contract on the basis of the initial tenders without any further negotiations.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Reward and Jury</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rewards and the jury in a design contest.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Prize</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number and value of prizes for the winner of the design contest (e.g. "1st place - 10,000 EUR", "2nd place - 5,000 EUR").</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Value Prize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Value of a prize, if any, for the winner (or runners-up) of the design contest.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Prize Rank</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Which place (e.g. first place, second place) in a design contest receives the prize.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Following Contract</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Any service contract following the contest will be awarded to one of the winners of the contest.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Rewards Other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Further information about follow-up contracts, prizes and payments (for example non-monetary prizes, payments given for participation).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Jury Decision Binding</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decision of the jury is binding on the buyer.</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Jury Member Name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Name of the jury member.</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Participant Name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Name of an already selected participant. A participant could have been selected already at the time of the publication of the design contest notice because, for example, the information about the participation of a world renown architect is intended to promote the contest amongst other potential participants.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Exclusion Grounds</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Brief description of criteria regarding the personal situation of tenderers that may lead to their exclusion. This must include a list of all such criteria and indicate required information (e.g. self-declaration, documentation). This can also include specific national exclusion grounds. </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Exclusion Grounds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Brief description of criteria regarding the personal situation of tenderers that may lead to their exclusion. This must include a list of all such criteria and indicate required information (e.g. self-declaration, documentation). This can also include specific national exclusion grounds.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Selection Criteria</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selection criteria (or criterion). All criteria must be listed.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Selection Criteria Type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The criteria (or criterion) concern(s), for example, economic and financial standing or technical and professional ability. </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Selection Criteria Used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criteria (or criterion) of the given type are (is) used, unused, or (in case of prior information noticed used as a call for competition or to reduce time limits) the use is not yet known.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Selection Criteria Name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Name of the selection criteria (or criterion).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Selection Criteria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Brief description of the selection criteria (or criterion), including minimum requirements, required information (e.g. self-declaration, documentation) and how the criterion will be used to select candidates to be invited for the second stage of the procedure (if a maximum number of candidates was set).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Selection Criteria Second Stage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criteria (or criterion) will (only) be used to select the candidates to be invited for the second stage of the procedure (if a maximum number of candidates was set).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Selection Criterion Second Stage Number</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a number linked to the selection criteria (or criterion) used for selecting the candidates to be invited for the second stage of the procedure.</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double" w:sz="6"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Selection Criterion Second Stage Number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 number linked to the selection criteria (or criterion).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7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Selection Criterion Second Stage Number Meaning</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meaning of a number linked to a selection criterion (e.g. whether it is a weight, a minimum point threshold).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Other Requirements</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Other requirements for participation in the procedure and terms governing the future contract. The requirements must include a description of methods according to which they will be verified.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Guarantee Required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 guarantee is required.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Guarantee Required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Financial guarantee paid by the tenderer when submitting a bid. Typically, the guarantee would not be refunded when a tenderer has won the contract but then refused to sign it.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Reserved Procurement</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Procurement reserved for specific organisations (e.g. sheltered workshops) or programs (e.g. sheltered employment).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Performing Staff Qualification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Requirement to state the names and professional qualifications of the staff assigned to perform the contract.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Security Clearance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 security clearance is required.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Security Clearance Deadline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deadline by which tenderers which do not hold a security clearance may obtain it.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Security Clearance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Additional information about the security clearance (e.g. which level of security clearance is required, which team members must have it, whether it is necessary already for accessing the procurement documents or only for contract implementation).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Subcontracting Requirements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Requirements to be met by the tenderer concerning subcontracting.</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Subcontracting Obligation Minimum</w:t>
            </w:r>
          </w:p>
        </w:tc>
        <w:tc>
          <w:tcPr>
            <w:tcW w:w="955" w:type="pct"/>
            <w:tcBorders>
              <w:top w:val="nil"/>
              <w:left w:val="nil"/>
              <w:bottom w:val="single" w:sz="4" w:space="0" w:color="EEECE1"/>
              <w:right w:val="double" w:sz="6" w:space="0" w:color="auto"/>
            </w:tcBorders>
            <w:shd w:val="clear" w:color="auto" w:fill="auto"/>
            <w:vAlign w:val="center"/>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minimum percentage of the contract value that the contractor must subcontract using the competitive procedure described in Title III of Directive 2009/81/EC.</w:t>
            </w:r>
          </w:p>
        </w:tc>
        <w:tc>
          <w:tcPr>
            <w:tcW w:w="227" w:type="pct"/>
            <w:tcBorders>
              <w:top w:val="nil"/>
              <w:left w:val="nil"/>
              <w:bottom w:val="single" w:sz="4" w:space="0" w:color="EEECE1"/>
              <w:right w:val="double" w:sz="6"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nil"/>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Subcontracting Obligation Maximum</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maximum percentage of the contract value that the contractor must subcontract using the competitive procedure described in Title III of Directive 2009/81/EC.</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Contract Terms</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terms governing the future contract.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2B5679" w:rsidP="00C627F5">
            <w:pPr>
              <w:spacing w:before="0" w:after="0"/>
              <w:jc w:val="center"/>
              <w:rPr>
                <w:rFonts w:eastAsia="Times New Roman"/>
                <w:sz w:val="16"/>
                <w:szCs w:val="16"/>
                <w:lang w:val="en-US"/>
              </w:rPr>
            </w:pPr>
            <w:r>
              <w:rPr>
                <w:rFonts w:eastAsia="Times New Roman"/>
                <w:sz w:val="16"/>
                <w:szCs w:val="16"/>
                <w:lang w:val="en-US"/>
              </w:rPr>
              <w:t>-</w:t>
            </w:r>
            <w:r w:rsidR="00C627F5" w:rsidRPr="002C6173">
              <w:rPr>
                <w:rFonts w:eastAsia="Times New Roman"/>
                <w:sz w:val="16"/>
                <w:szCs w:val="16"/>
                <w:lang w:val="en-US"/>
              </w:rPr>
              <w:t> </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Tenderer Legal Form</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 certain legal form must be taken by a group of tenderers that is awarded a contract.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Tenderer Legal Form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Legal form that must be taken by a group of tenderers that is awarded a contract.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Terms Performance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Main information about the performance of to the contract (e.g. intermediary deliverables, compensation for damages, intellectual property rights).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Electronic ordering</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Electronic ordering will be used.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Terms Financial</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Main information about financing and payment and/or reference to any provisions that govern them.</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Electronic invoicing</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Electronic invoices will be accepted.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Electronic payment</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Electronic payment will be used.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Award Criteria</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award criteria.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Criterion</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award criterion.</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Criterion Type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Whether the criterion concerns the price, the cost, or a non-price non-cost attribute of the tender. (Price is the acquisition price, cost is any other non-price monetary criterion.)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Criterion Name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Name of the award criterion.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Criterion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Description of the award criterion.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Criterion Number</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a number linked to an award criterion.</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Criterion Number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 number linked to an award criterion.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57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Criterion Number Meaning</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meaning of a number linked to an award criterion (e.g. whether it is a weight, an order of importance, a fixed price, a minimum point threshold).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Criteria Complicated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The mathematical equation and any other description used for complicated (e.g. non-linear) weighing of criteria when a weighing cannot be expressed per criterion. </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 Criteria Order Justification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Justification for only indicating the award criteria's order of importance, not their weighing.</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Techniques</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use of sets of techniques such as framework agreements without reopening of competition, framework agreements with reopening of competition, dynamic purchasing systems, electronic auctions and electronic ordering.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Technique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Use of techniques such as framework agreements without reopening of competition, framework agreements with reopening of competition, dynamic purchasing systems or electronic auctions.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Electronic Auction URL</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Internet address of the electronic auction.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Electronic Auction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Any additional information about the electronic auction.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Framework Maximum Tenderers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There is a maximum number of tenderers who may be awarded a contract within the framework agreement.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Framework Maximum Tenderers Number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maximum number of tenderers who may be awarded a contract within the framework agreement.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Framework Duration Justification</w:t>
            </w:r>
          </w:p>
        </w:tc>
        <w:tc>
          <w:tcPr>
            <w:tcW w:w="955" w:type="pct"/>
            <w:tcBorders>
              <w:top w:val="nil"/>
              <w:left w:val="nil"/>
              <w:bottom w:val="nil"/>
              <w:right w:val="nil"/>
            </w:tcBorders>
            <w:shd w:val="clear" w:color="auto" w:fill="auto"/>
            <w:vAlign w:val="bottom"/>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Justification for exceptional cases when the duration of framework agreements exceeds the legal limits. (Four years in the case of the general procurement Directive, seven years in the case of the defence Directive, and eight years in the case of the sectoral Directive.)</w:t>
            </w:r>
          </w:p>
        </w:tc>
        <w:tc>
          <w:tcPr>
            <w:tcW w:w="22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Framework Buyer Categories</w:t>
            </w:r>
          </w:p>
        </w:tc>
        <w:tc>
          <w:tcPr>
            <w:tcW w:w="955" w:type="pct"/>
            <w:tcBorders>
              <w:top w:val="nil"/>
              <w:left w:val="nil"/>
              <w:bottom w:val="nil"/>
              <w:right w:val="nil"/>
            </w:tcBorders>
            <w:shd w:val="clear" w:color="auto" w:fill="auto"/>
            <w:vAlign w:val="bottom"/>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Any additional categories of buyers participating in the framework agreement and not mentioned by name (e.g. "all hospitals in the Tuscany region").</w:t>
            </w:r>
          </w:p>
        </w:tc>
        <w:tc>
          <w:tcPr>
            <w:tcW w:w="22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DPS Termination</w:t>
            </w:r>
          </w:p>
        </w:tc>
        <w:tc>
          <w:tcPr>
            <w:tcW w:w="955" w:type="pct"/>
            <w:tcBorders>
              <w:top w:val="single" w:sz="4" w:space="0" w:color="EEECE1"/>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dynamic purchasing system is terminated. No further contracts, besides those published in this notice, will be awarded in the dynamic purchasing system. This field can be used even if no contracts are awarded in the contract award notice.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Communication</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General information about communication with the buyer(s).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Atypical Tool</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Electronic communication requires the use of tools and devices that are not generally available.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Atypical Tool URL</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Electronic communication requires the use of tools and devices that are not generally available. Unrestricted and full direct access to these tools and devices is possible at the following website.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Future Notice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Estimated date of publication of a contract notice within this procedure.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Dispatch Invitation Interest</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Estimated date of dispatch of the invitations to confirm interest.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Dispatch Invitation Tender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Estimated date of dispatch of the invitations to submit tenders in two (or more) stage procedures.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Review Deadline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Description of the time limits for review procedures.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General URL Tax</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internet site from which information can be obtained concerning the general regulatory framework for taxes applicable in the place where the contract is to be performed.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General URL Environment</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internet site from which information can be obtained concerning the general regulatory framework for environmental protection applicable in the place where the contract is to be performed.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General URL Employment</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internet site from which information can be obtained concerning the general regulatory framework for employment protection and working conditions applicable in the place where the contract is to be performed.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Procurement Documents</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procurement documents.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2B5679" w:rsidP="00C627F5">
            <w:pPr>
              <w:spacing w:before="0" w:after="0"/>
              <w:jc w:val="center"/>
              <w:rPr>
                <w:rFonts w:eastAsia="Times New Roman"/>
                <w:sz w:val="16"/>
                <w:szCs w:val="16"/>
                <w:lang w:val="en-US"/>
              </w:rPr>
            </w:pPr>
            <w:r>
              <w:rPr>
                <w:rFonts w:eastAsia="Times New Roman"/>
                <w:sz w:val="16"/>
                <w:szCs w:val="16"/>
                <w:lang w:val="en-US"/>
              </w:rPr>
              <w:t>-</w:t>
            </w:r>
            <w:r w:rsidR="00C627F5" w:rsidRPr="002C6173">
              <w:rPr>
                <w:rFonts w:eastAsia="Times New Roman"/>
                <w:sz w:val="16"/>
                <w:szCs w:val="16"/>
                <w:lang w:val="en-US"/>
              </w:rPr>
              <w:t> </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104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Documents URL</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Internet address for accessing (the non-restricted part of) the procurement documents. For all notices except prior information notices not used to shorten time limits and not used as a call for competition, the address must give access that is direct (i.e. the exact webpage with the documents, not a general website), unrestricted (e.g. no payment, no registration) and full (i.e. the procurement documents must be complete) and the documents must be available already at the time of the publication of the notice.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Documents Official Language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language(s) in which these procurement documents are officially available. These linguistic versions are equally legally valid.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60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Documents Unofficial Language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procurement documents (or their parts) are also available in the following languages. These versions are not an official translation, they are provided only for information.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0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Documents Restricted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Access to certain procurement documents is restricted.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Documents Restricted Justification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justification for restricting access to certain procurement documents.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Documents Restricted URL</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Internet address with information on accessing the restricted (part of the) procurement documents.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Additional Information Identifier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Identifier of an organisation (or organisations) for requesting additional information about the procurement procedure (if different than the buyer).</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Additional Information Deadline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time limit for requesting additional information about the procurement procedure.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Submission Terms</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tender submission terms. This information may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2B5679" w:rsidP="00C627F5">
            <w:pPr>
              <w:spacing w:before="0" w:after="0"/>
              <w:jc w:val="center"/>
              <w:rPr>
                <w:rFonts w:eastAsia="Times New Roman"/>
                <w:sz w:val="16"/>
                <w:szCs w:val="16"/>
                <w:lang w:val="en-US"/>
              </w:rPr>
            </w:pPr>
            <w:r>
              <w:rPr>
                <w:rFonts w:eastAsia="Times New Roman"/>
                <w:sz w:val="16"/>
                <w:szCs w:val="16"/>
                <w:lang w:val="en-US"/>
              </w:rPr>
              <w:t>-</w:t>
            </w:r>
            <w:r w:rsidR="00C627F5" w:rsidRPr="002C6173">
              <w:rPr>
                <w:rFonts w:eastAsia="Times New Roman"/>
                <w:sz w:val="16"/>
                <w:szCs w:val="16"/>
                <w:lang w:val="en-US"/>
              </w:rPr>
              <w:t> </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Submission Electronic</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Use of electronic submission.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Submission Nonelectronic Justification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Justification for electronic submission of tenders not being possible.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Submission Nonelectronic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Description of how to submit tenders non-electronically.</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Submission URL</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Internet address for submission of tenders by electronic means. The address should be as direct as possible (ideally a dedicated address for the electronic submission, not just a general website).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Submission Language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Languages in which tenders or requests to participate may be submitted.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Submission Electronic Signature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Advanced or qualified electronic signature (as defined in Regulation (EU) No 910/2014) required.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Deadline Receipt Expressions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Time limit for receipt of expressions of interest.</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Deadline Receipt Requests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Time limit for receipt of requests to participate.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Deadline Receipt Tenders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Time limit for receipt of tenders.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Tender Validity Deadline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period, from the tender submission deadline, for which tenders must remain valid.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Duration</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Opening Date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Time for the opening of tenders.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Opening Place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place where the tenders will be opened.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Opening Description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Further information about the opening of tenders. (For example, who may participate in the opening and whether any authorisation is needed.)</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Notice Result</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all the results of the procurement procedure or, if they exist, individual lots announced in this notice.</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Notice Value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Value of all contracts awarded in this notice, including options and renewals.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Notice Framework Maximum Value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Maximum value which can be spent within the framework agreement(s) announced in this notice over its whole duration, in all lots, including options and renewals.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7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Framework Maximum Value</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Information about the maximum value which can be spent, in a framework agreement, within a group of lots. This information can be provided when the maximum value of a group of lots is lower than the sum of values of individual lots (e.g. when the same budget is shared for several lots).</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Framework Maximum Value Lot Identifier</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Identifier of several lots within this procedure. These lots form a group whose maximum value is lower than the sum of individual maximum values of all the lots together (e.g. when the same budget is shared for several lots).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Group Framework Maximum Value</w:t>
            </w:r>
          </w:p>
        </w:tc>
        <w:tc>
          <w:tcPr>
            <w:tcW w:w="955" w:type="pct"/>
            <w:tcBorders>
              <w:top w:val="nil"/>
              <w:left w:val="nil"/>
              <w:bottom w:val="single" w:sz="4" w:space="0" w:color="EEECE1"/>
              <w:right w:val="double" w:sz="6" w:space="0" w:color="auto"/>
            </w:tcBorders>
            <w:shd w:val="clear" w:color="auto" w:fill="auto"/>
            <w:vAlign w:val="center"/>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Maximum value which can be spent in a framework agreement within a group of lots. This information can be provided when the maximum value of a group of lots is lower than the sum of values of individual lots (e.g. when the same budget is shared for several lots). Maximum value means a value covering all contracts to be awarded within a framework agreement or a dynamic purchasing system, over their whole duration, including options and renewals.</w:t>
            </w:r>
          </w:p>
        </w:tc>
        <w:tc>
          <w:tcPr>
            <w:tcW w:w="227" w:type="pct"/>
            <w:tcBorders>
              <w:top w:val="nil"/>
              <w:left w:val="nil"/>
              <w:bottom w:val="single" w:sz="4" w:space="0" w:color="EEECE1"/>
              <w:right w:val="double" w:sz="6"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Procedure Lot Result</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Result of the procurement procedure. If the procedure is split into lots, this section must differ per lot.</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Awarded</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A winner has been chosen.</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Not Awarded Reason</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The reason for not choosing a winner.</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Framework Maximum Value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Maximum value which can be spent within a framework agreement over its whole duration, including options and renewals.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r>
      <w:tr w:rsidR="00C627F5"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Received Participation Requests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Number of requests to participate received. All requests to participate received must be counted, regardless of whether they are admissible or inadmissible.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Received Tenders</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Number of tenders received. All tenders received must be counted, regardless of whether they are admissible or inadmissible.</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C627F5" w:rsidRPr="002C6173" w:rsidTr="00DE4D61">
        <w:trPr>
          <w:trHeight w:val="1050"/>
        </w:trPr>
        <w:tc>
          <w:tcPr>
            <w:tcW w:w="140" w:type="pct"/>
            <w:tcBorders>
              <w:top w:val="nil"/>
              <w:left w:val="double" w:sz="6" w:space="0" w:color="auto"/>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 xml:space="preserve">        Received Tenders SME</w:t>
            </w:r>
          </w:p>
        </w:tc>
        <w:tc>
          <w:tcPr>
            <w:tcW w:w="955" w:type="pct"/>
            <w:tcBorders>
              <w:top w:val="nil"/>
              <w:left w:val="nil"/>
              <w:bottom w:val="single" w:sz="4" w:space="0" w:color="EEECE1"/>
              <w:right w:val="double" w:sz="6" w:space="0" w:color="auto"/>
            </w:tcBorders>
            <w:shd w:val="clear" w:color="auto" w:fill="auto"/>
            <w:vAlign w:val="center"/>
            <w:hideMark/>
          </w:tcPr>
          <w:p w:rsidR="00C627F5" w:rsidRPr="002C6173" w:rsidRDefault="00C627F5" w:rsidP="00C627F5">
            <w:pPr>
              <w:spacing w:before="0" w:after="0"/>
              <w:jc w:val="left"/>
              <w:rPr>
                <w:rFonts w:eastAsia="Times New Roman"/>
                <w:sz w:val="16"/>
                <w:szCs w:val="16"/>
                <w:lang w:val="en-US"/>
              </w:rPr>
            </w:pPr>
            <w:r w:rsidRPr="002C6173">
              <w:rPr>
                <w:rFonts w:eastAsia="Times New Roman"/>
                <w:sz w:val="16"/>
                <w:szCs w:val="16"/>
                <w:lang w:val="en-US"/>
              </w:rPr>
              <w:t>Number of tenders received from small and medium enterprises (SMEs). All such tenders must be counted, regardless of whether they are admissible or inadmissible. For tenders submitted by a group of tenderers (e.g. a consortium), the tender should be counted if the majority of the work is expected to be done by SMEs.</w:t>
            </w:r>
          </w:p>
        </w:tc>
        <w:tc>
          <w:tcPr>
            <w:tcW w:w="22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C627F5" w:rsidRPr="002C6173" w:rsidRDefault="00C627F5" w:rsidP="00C627F5">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1050"/>
        </w:trPr>
        <w:tc>
          <w:tcPr>
            <w:tcW w:w="140" w:type="pct"/>
            <w:tcBorders>
              <w:top w:val="nil"/>
              <w:left w:val="double" w:sz="6" w:space="0" w:color="auto"/>
              <w:bottom w:val="single" w:sz="4" w:space="0" w:color="EEECE1"/>
              <w:right w:val="nil"/>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Received Tenders Micro</w:t>
            </w:r>
          </w:p>
        </w:tc>
        <w:tc>
          <w:tcPr>
            <w:tcW w:w="955" w:type="pct"/>
            <w:tcBorders>
              <w:top w:val="nil"/>
              <w:left w:val="nil"/>
              <w:bottom w:val="single" w:sz="4" w:space="0" w:color="EEECE1"/>
              <w:right w:val="double" w:sz="6" w:space="0" w:color="auto"/>
            </w:tcBorders>
            <w:shd w:val="clear" w:color="auto" w:fill="auto"/>
            <w:vAlign w:val="center"/>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tenders received from micro enterprises. All such tenders must be counted, regardless of whether they are admissible or inadmissible. For tenders submitted by a group of tenderers (e.g. a consortium), the tender should be counted if the majority of the work is expected to be done by micro enterprises.</w:t>
            </w:r>
          </w:p>
        </w:tc>
        <w:tc>
          <w:tcPr>
            <w:tcW w:w="227" w:type="pct"/>
            <w:tcBorders>
              <w:top w:val="nil"/>
              <w:left w:val="nil"/>
              <w:bottom w:val="single" w:sz="4" w:space="0" w:color="EEECE1"/>
              <w:right w:val="double" w:sz="6"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105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Received Tenders Small</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tenders received from small enterprises. All such tenders must be counted, regardless of whether they are admissible or inadmissible. For tenders submitted by a group of tenderers (e.g. a consortium), the tender should be counted if the majority of the work is expected to be done by small enterprises.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105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Received Tenders Medium</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tenders received from medium enterprises. All such tenders must be counted, regardless of whether they are admissible or inadmissible. For tenders submitted by a group of tenderers (e.g. a consortium), the tender should be counted if the majority of the work is expected to be done by medium enterprises.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104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Received Tenders EU</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tenders received from tenderers registered in other European Economic Area countries (e.g. EU Member States, Iceland, Liechtenstein, Norway) than the country of the buyer (or all countries of all the buyers). All such tenders must be counted, regardless of whether they are admissible or inadmissible. For tenders submitted by a group of tenderers (e.g. a consortium), the tender should be counted if the majority of the work is expected to be done by tenderers from other European Economic Area countries.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Received Tenders Non EU</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tenders received from tenderers registered in countries outside of the European Economic Area. All such tenders must be counted, regardless of whether they are admissible or inadmissible. For tenders submitted by a group of tenderers (e.g. a consortium), the tender should be counted if the majority of the work is expected to be done by tenderers from outside of the European Economic Area.</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1140"/>
        </w:trPr>
        <w:tc>
          <w:tcPr>
            <w:tcW w:w="140" w:type="pct"/>
            <w:tcBorders>
              <w:top w:val="nil"/>
              <w:left w:val="double" w:sz="6" w:space="0" w:color="auto"/>
              <w:bottom w:val="single" w:sz="4" w:space="0" w:color="EEECE1"/>
              <w:right w:val="nil"/>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Received Tenders Inadmissible</w:t>
            </w:r>
          </w:p>
        </w:tc>
        <w:tc>
          <w:tcPr>
            <w:tcW w:w="955" w:type="pct"/>
            <w:tcBorders>
              <w:top w:val="nil"/>
              <w:left w:val="nil"/>
              <w:bottom w:val="single" w:sz="4" w:space="0" w:color="EEECE1"/>
              <w:right w:val="double" w:sz="6" w:space="0" w:color="auto"/>
            </w:tcBorders>
            <w:shd w:val="clear" w:color="auto" w:fill="auto"/>
            <w:vAlign w:val="center"/>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tenders received that were found inadmissible. A tender is found inadmissible where it has been verified that it has been submitted by a tenderer who has been excluded or who did not meet the selection criteria, or when it is not in conformity with the technical specifications, or is irregular (e.g. it was received late, having an abnormally low price or cost), unacceptable or unsuitable.</w:t>
            </w:r>
          </w:p>
        </w:tc>
        <w:tc>
          <w:tcPr>
            <w:tcW w:w="227" w:type="pct"/>
            <w:tcBorders>
              <w:top w:val="nil"/>
              <w:left w:val="nil"/>
              <w:bottom w:val="single" w:sz="4" w:space="0" w:color="EEECE1"/>
              <w:right w:val="double" w:sz="6"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Received Tenders Abnormally Low</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tenders received that were irregular because of an abnormally low price or cost.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Received Tenders Unverified</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tenders received for which it has not been verified if they are admissible or inadmissible (e.g. because award criteria have been evaluated for all tenders and admissibility is checked only for the winning tender).</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Tender Value Lowest</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Value of the admissible tender with the lowest value. A tender shall be considered admissible where it has been submitted by a tenderer, who has not been excluded and who meets the selection criteria, and when it is in conformity with the technical specifications without being irregular (e.g. received late, having an abnormally low price or cost) or unacceptable or unsuitable.</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78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Tender Value Highest</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Value of the admissible tender with the highest value. A tender shall be considered admissible where it has been submitted by a tenderer, who has not been excluded and who meets the selection criteria, and when it is in conformity with the technical specifications without being irregular (e.g. received late, having an abnormally low price or cost) or unacceptable or unsuitable.</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Concession Revenue User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Estimated revenue coming from the users of the concession (e.g. fees and fines)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Concession Revenue Buyer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Estimated revenue coming from the buyer who granted the concession (e.g. prizes and payments)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Concession Value Description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Description of the method used for calculating the estimated value of the concession and any other relevant information concerning the value of the concession.</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Country Origin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country of origin of the product or the service.</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78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Winning Tender</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Winning tender or, in cases such as design contests, some framework agreements and innovation partnerships, other results. If the procedure is split into lots, this section may differ per lot. In cases such as design contests, some framework agreements and innovation partnerships, this section may also differ per organisation.</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Winning Tender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An identifier of a winning tender or, in cases such as design contests, some framework agreements and innovation partnerships, of other results. The information in the winning tender section refers to this winning tender.</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Winning Lot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Identifier of a lot or a group of lots within the procedure for which the tender was submitted. The information in the winning tender section refers to this lot.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Winner Organisation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Identifier of a organisation (or identifiers of organisations, in case of consortia and joint ventures) that submitted the winning tender.</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Winning Tender Value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Value of the winning tender or another result; including options and renewals.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Winner Rank</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position of the winner (i.e. whether the tenderer ended up first, second, third, etc.) in a design contest, some framework agreements with multiple winners (e.g. cascades) or an innovation partnership.</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Review Requests</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Number of tenderers that requested the buyer to review the award decision.</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Winning Tender Variant</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winning tender is a variant.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Subcontracting</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Information regarding the parts of the contract that the contractor will subcontract to third parties.</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Subcontracting Known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buyer knows at least the estimated value and description of the part of the contract that the contractor will subcontract to third parties.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Subcontracting Value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Estimated value of the part of the contract that the contractor will subcontract to third parties.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Subcontracting Proportion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Estimated proportion of the part of the contract that the contractor will subcontract to third parties compared to the whole contract.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Number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Subcontracting Description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Description of the part of the contract that the contractor will subcontract to third parties.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555"/>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Subcontracting Competitive Value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Minimum value of the contract that will be subcontracted using the competitive procedure described in Title III of Directive 2009/81/EC.</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Value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w:t>
            </w:r>
          </w:p>
        </w:tc>
        <w:tc>
          <w:tcPr>
            <w:tcW w:w="955" w:type="pct"/>
            <w:tcBorders>
              <w:top w:val="nil"/>
              <w:left w:val="nil"/>
              <w:bottom w:val="single" w:sz="4" w:space="0" w:color="EEECE1"/>
              <w:right w:val="double" w:sz="6" w:space="0" w:color="auto"/>
            </w:tcBorders>
            <w:shd w:val="clear" w:color="auto" w:fill="D9D9D9" w:themeFill="background1" w:themeFillShade="D9"/>
            <w:vAlign w:val="center"/>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Information about the contract between a buyer and a winner following a winning tender. In case of voluntary-ex ante transparency notices and design contest result notices, information about the decision of the evaluation committee or the jury, respectively.</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Identifier of the contract or, in case of voluntary-ex ante transparency notices and design contest result notices, of the decision. The information in the contract section refers to this contract or decision.</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Buyer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Identifier of the organisation (or organisations) paying for this contract. This must to be specified when a procedure is run by multiple buyers but only some use a particular contract (e.g. in cases of large framework agreements).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Winning Tender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Identifier(s) of the winning tender(s) or other result(s) that resulted in this contract.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Title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Name of the contract or, in case of voluntary-ex ante transparency notices and design contest result notices, of the decision. </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Decision Date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date of the official decision choosing the future contractor or winner.</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Conclusion Date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Date when the last contractual party signed the contract.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URL</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Uniform Resource Locator (e.g. the web address) of the contract.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URL</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CE433F" w:rsidRPr="002C6173" w:rsidTr="00DE4D61">
        <w:trPr>
          <w:trHeight w:val="52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EU Funds</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Information about European Union funds used to finance the contract. The most concrete information must be given (e.g. about concrete projects, not just operational programs.)</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EU Funds Name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Name of the European Union funds used to at least partially finance the contract. The most concrete information must be given (e.g. about concrete projects, not just operational programs.)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Contract EU Funds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An identifier of the European Union funds used to at least partially finance the contract. The most concrete information must be given (e.g. about concrete projects, not just operational programs.)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Additional Information</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Any information not mentioned elsewhere.</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52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Strategic Procurement</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A technical specification, award criterion, or contract performance condition aims to reduce the environmental impacts of the procurement, fulfil social objectives and/or buy an innovative work, supply or service.</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Accessibility</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use of accessibility criteria for persons with disabilities in the technical specifications.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Accessibility Justification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Justification for not including accessibility criteria even though the procurement is intended for use by natural persons.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Suitable For SMEs</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buyer emphasizes that this procurement is also suitable for small and medium enterprises (SMEs).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GPA Usage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procurement is covered by the Government Procurement Agreement (GPA).</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6412DA"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tcPr>
          <w:p w:rsidR="006412DA" w:rsidRPr="002C6173" w:rsidRDefault="006412DA" w:rsidP="00BB7E02">
            <w:pPr>
              <w:spacing w:before="0" w:after="0"/>
              <w:jc w:val="left"/>
              <w:rPr>
                <w:rFonts w:eastAsia="Times New Roman"/>
                <w:sz w:val="16"/>
                <w:szCs w:val="16"/>
                <w:lang w:val="en-US"/>
              </w:rPr>
            </w:pPr>
            <w:r w:rsidRPr="006412DA">
              <w:rPr>
                <w:rFonts w:eastAsia="Times New Roman"/>
                <w:sz w:val="16"/>
                <w:szCs w:val="16"/>
                <w:lang w:val="en-US"/>
              </w:rPr>
              <w:t xml:space="preserve">    PIN Competition Termination</w:t>
            </w:r>
          </w:p>
        </w:tc>
        <w:tc>
          <w:tcPr>
            <w:tcW w:w="955" w:type="pct"/>
            <w:tcBorders>
              <w:top w:val="nil"/>
              <w:left w:val="nil"/>
              <w:bottom w:val="single" w:sz="4" w:space="0" w:color="EEECE1"/>
              <w:right w:val="double" w:sz="6" w:space="0" w:color="auto"/>
            </w:tcBorders>
            <w:shd w:val="clear" w:color="auto" w:fill="auto"/>
            <w:vAlign w:val="center"/>
          </w:tcPr>
          <w:p w:rsidR="006412DA" w:rsidRPr="002C6173" w:rsidRDefault="006412DA" w:rsidP="00BB7E02">
            <w:pPr>
              <w:spacing w:before="0" w:after="0"/>
              <w:jc w:val="left"/>
              <w:rPr>
                <w:rFonts w:eastAsia="Times New Roman"/>
                <w:sz w:val="16"/>
                <w:szCs w:val="16"/>
                <w:lang w:val="en-US"/>
              </w:rPr>
            </w:pPr>
            <w:r w:rsidRPr="006412DA">
              <w:rPr>
                <w:rFonts w:eastAsia="Times New Roman"/>
                <w:sz w:val="16"/>
                <w:szCs w:val="16"/>
                <w:lang w:val="en-US"/>
              </w:rPr>
              <w:t>The prior information notice used as a call for competition is terminated. No further contracts, besides those published in this notice, will be awarded following this prior information notice used as a call for competition. This field can be used even if no contracts are awarded in the contract award notice.</w:t>
            </w:r>
          </w:p>
        </w:tc>
        <w:tc>
          <w:tcPr>
            <w:tcW w:w="227" w:type="pct"/>
            <w:tcBorders>
              <w:top w:val="nil"/>
              <w:left w:val="nil"/>
              <w:bottom w:val="single" w:sz="4" w:space="0" w:color="EEECE1"/>
              <w:right w:val="double" w:sz="6"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r>
              <w:rPr>
                <w:rFonts w:eastAsia="Times New Roman"/>
                <w:sz w:val="16"/>
                <w:szCs w:val="16"/>
                <w:lang w:val="en-US"/>
              </w:rPr>
              <w:t>Indicator</w:t>
            </w:r>
          </w:p>
        </w:tc>
        <w:tc>
          <w:tcPr>
            <w:tcW w:w="58" w:type="pct"/>
            <w:tcBorders>
              <w:top w:val="nil"/>
              <w:left w:val="nil"/>
              <w:bottom w:val="single" w:sz="4" w:space="0" w:color="EEECE1"/>
              <w:right w:val="nil"/>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2"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2"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2"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2" w:type="pct"/>
            <w:tcBorders>
              <w:top w:val="nil"/>
              <w:left w:val="nil"/>
              <w:bottom w:val="single" w:sz="4" w:space="0" w:color="EEECE1"/>
              <w:right w:val="nil"/>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2" w:type="pct"/>
            <w:tcBorders>
              <w:top w:val="nil"/>
              <w:left w:val="single" w:sz="4" w:space="0" w:color="auto"/>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8" w:type="pct"/>
            <w:tcBorders>
              <w:top w:val="nil"/>
              <w:left w:val="nil"/>
              <w:bottom w:val="single" w:sz="4" w:space="0" w:color="EEECE1"/>
              <w:right w:val="double" w:sz="6"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70"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70"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95" w:type="pct"/>
            <w:tcBorders>
              <w:top w:val="nil"/>
              <w:left w:val="nil"/>
              <w:bottom w:val="single" w:sz="4" w:space="0" w:color="EEECE1"/>
              <w:right w:val="double" w:sz="6"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double" w:sz="6" w:space="0" w:color="000000"/>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r>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r>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r>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r>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4" w:type="pct"/>
            <w:tcBorders>
              <w:top w:val="nil"/>
              <w:left w:val="nil"/>
              <w:bottom w:val="single" w:sz="4" w:space="0" w:color="EEECE1"/>
              <w:right w:val="single" w:sz="4"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c>
          <w:tcPr>
            <w:tcW w:w="67" w:type="pct"/>
            <w:tcBorders>
              <w:top w:val="nil"/>
              <w:left w:val="nil"/>
              <w:bottom w:val="single" w:sz="4" w:space="0" w:color="EEECE1"/>
              <w:right w:val="double" w:sz="6" w:space="0" w:color="auto"/>
            </w:tcBorders>
            <w:shd w:val="clear" w:color="auto" w:fill="auto"/>
            <w:noWrap/>
            <w:vAlign w:val="center"/>
          </w:tcPr>
          <w:p w:rsidR="006412DA" w:rsidRPr="002C6173" w:rsidRDefault="006412DA" w:rsidP="00BB7E02">
            <w:pPr>
              <w:spacing w:before="0" w:after="0"/>
              <w:jc w:val="center"/>
              <w:rPr>
                <w:rFonts w:eastAsia="Times New Roman"/>
                <w:sz w:val="16"/>
                <w:szCs w:val="16"/>
                <w:lang w:val="en-US"/>
              </w:rPr>
            </w:pP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Additional Information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Any information not mentioned elsewhere.</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Not Immediately Published</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Information about fields not intended for immediate publication.</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O</w:t>
            </w:r>
          </w:p>
        </w:tc>
      </w:tr>
      <w:tr w:rsidR="00BB7E02" w:rsidRPr="002C6173" w:rsidTr="00DE4D61">
        <w:trPr>
          <w:trHeight w:val="93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Unpublished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Identifier of the field that shall not be immediately published. Only fields concerning the Result value and groups of fields concerning the Winning Tender and Procedure Lot Result can be unpublished. In the case of the sectoral Directive, the award criteria, the procurement procedure and certain dates can be unpublished as well.</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Unpublished Justification Code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Justification for not immediately publishing a field.</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Unpublished Justification Description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Justification for not immediately publishing a field and for the choice of a later date at which it can be published.</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Unpublished Accessibility Date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Later date at which the originally unpublished field shall be published.</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M</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Modification</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Information about modifications of the contract (e.g. additional works, services or supplies).</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Modification Previous Contract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Identifier of one or more contracts within the procedure. The information in the modification section refers to this contract or these contracts.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104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Modification Description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Summary of the contract modification(s). In case of multiple contract modifications, if there have first been small modifications to the contract (which did not lead to a publication of a contract modification notice) and then a bigger contract modification (which did lead to a contract modification notice) then the contract modification notice must inform about the nature and extent of all the changes - both the earlier small ones and the later larger one.</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Modification Reason Code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Main reason for modifying the contract.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Modification Reason Description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Main reason for modifying the contract.</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CE433F" w:rsidRPr="002C6173" w:rsidTr="00DE4D61">
        <w:trPr>
          <w:trHeight w:val="260"/>
        </w:trPr>
        <w:tc>
          <w:tcPr>
            <w:tcW w:w="140" w:type="pct"/>
            <w:tcBorders>
              <w:top w:val="nil"/>
              <w:left w:val="double" w:sz="6" w:space="0" w:color="auto"/>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Change</w:t>
            </w:r>
          </w:p>
        </w:tc>
        <w:tc>
          <w:tcPr>
            <w:tcW w:w="955" w:type="pct"/>
            <w:tcBorders>
              <w:top w:val="nil"/>
              <w:left w:val="nil"/>
              <w:bottom w:val="single" w:sz="4" w:space="0" w:color="EEECE1"/>
              <w:right w:val="double" w:sz="6" w:space="0" w:color="auto"/>
            </w:tcBorders>
            <w:shd w:val="clear" w:color="auto" w:fill="D9D9D9" w:themeFill="background1" w:themeFillShade="D9"/>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Information about changes to the notice.</w:t>
            </w:r>
          </w:p>
        </w:tc>
        <w:tc>
          <w:tcPr>
            <w:tcW w:w="22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58"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D9D9D9" w:themeFill="background1" w:themeFillShade="D9"/>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Change Previous Lot Identifier</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Identifier of one or more lots within the changed notice. The information in the change cancellation section refers to this lot or these lots.</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Identifier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Change Description</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Descriptions of changes in the notice compared to the original notice.</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Text</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55"/>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Change Procurement Documents</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procurement documents have changed.</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CE433F" w:rsidP="00BB7E02">
            <w:pPr>
              <w:spacing w:before="0" w:after="0"/>
              <w:jc w:val="center"/>
              <w:rPr>
                <w:rFonts w:eastAsia="Times New Roman"/>
                <w:sz w:val="16"/>
                <w:szCs w:val="16"/>
                <w:lang w:val="en-US"/>
              </w:rPr>
            </w:pPr>
            <w:r>
              <w:rPr>
                <w:rFonts w:eastAsia="Times New Roman"/>
                <w:sz w:val="16"/>
                <w:szCs w:val="16"/>
                <w:lang w:val="en-US"/>
              </w:rPr>
              <w:t>I</w:t>
            </w:r>
            <w:bookmarkStart w:id="0" w:name="_GoBack"/>
            <w:bookmarkEnd w:id="0"/>
            <w:r w:rsidR="00BB7E02" w:rsidRPr="002C6173">
              <w:rPr>
                <w:rFonts w:eastAsia="Times New Roman"/>
                <w:sz w:val="16"/>
                <w:szCs w:val="16"/>
                <w:lang w:val="en-US"/>
              </w:rPr>
              <w:t>ndicator</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60"/>
        </w:trPr>
        <w:tc>
          <w:tcPr>
            <w:tcW w:w="140" w:type="pct"/>
            <w:tcBorders>
              <w:top w:val="nil"/>
              <w:left w:val="double" w:sz="6" w:space="0" w:color="auto"/>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Change Procurement Documents Date</w:t>
            </w:r>
          </w:p>
        </w:tc>
        <w:tc>
          <w:tcPr>
            <w:tcW w:w="955" w:type="pct"/>
            <w:tcBorders>
              <w:top w:val="nil"/>
              <w:left w:val="nil"/>
              <w:bottom w:val="single" w:sz="4" w:space="0" w:color="EEECE1"/>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The date and time when the procurement documents have changed.</w:t>
            </w:r>
          </w:p>
        </w:tc>
        <w:tc>
          <w:tcPr>
            <w:tcW w:w="22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Date</w:t>
            </w:r>
          </w:p>
        </w:tc>
        <w:tc>
          <w:tcPr>
            <w:tcW w:w="58"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single" w:sz="4" w:space="0" w:color="EEECE1"/>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single" w:sz="4" w:space="0" w:color="EEECE1"/>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single" w:sz="4" w:space="0" w:color="EEECE1"/>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r w:rsidR="00BB7E02" w:rsidRPr="002C6173" w:rsidTr="00DE4D61">
        <w:trPr>
          <w:trHeight w:val="255"/>
        </w:trPr>
        <w:tc>
          <w:tcPr>
            <w:tcW w:w="140" w:type="pct"/>
            <w:tcBorders>
              <w:top w:val="nil"/>
              <w:left w:val="double" w:sz="6" w:space="0" w:color="auto"/>
              <w:bottom w:val="double" w:sz="6" w:space="0" w:color="auto"/>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w:t>
            </w:r>
          </w:p>
        </w:tc>
        <w:tc>
          <w:tcPr>
            <w:tcW w:w="1457" w:type="pct"/>
            <w:tcBorders>
              <w:top w:val="nil"/>
              <w:left w:val="double" w:sz="6" w:space="0" w:color="auto"/>
              <w:bottom w:val="double" w:sz="6" w:space="0" w:color="auto"/>
              <w:right w:val="double" w:sz="6" w:space="0" w:color="auto"/>
            </w:tcBorders>
            <w:shd w:val="clear" w:color="auto" w:fill="auto"/>
            <w:noWrap/>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 xml:space="preserve">    Change Reason Code</w:t>
            </w:r>
          </w:p>
        </w:tc>
        <w:tc>
          <w:tcPr>
            <w:tcW w:w="955" w:type="pct"/>
            <w:tcBorders>
              <w:top w:val="nil"/>
              <w:left w:val="nil"/>
              <w:bottom w:val="double" w:sz="6" w:space="0" w:color="auto"/>
              <w:right w:val="double" w:sz="6" w:space="0" w:color="auto"/>
            </w:tcBorders>
            <w:shd w:val="clear" w:color="auto" w:fill="auto"/>
            <w:vAlign w:val="center"/>
            <w:hideMark/>
          </w:tcPr>
          <w:p w:rsidR="00BB7E02" w:rsidRPr="002C6173" w:rsidRDefault="00BB7E02" w:rsidP="00BB7E02">
            <w:pPr>
              <w:spacing w:before="0" w:after="0"/>
              <w:jc w:val="left"/>
              <w:rPr>
                <w:rFonts w:eastAsia="Times New Roman"/>
                <w:sz w:val="16"/>
                <w:szCs w:val="16"/>
                <w:lang w:val="en-US"/>
              </w:rPr>
            </w:pPr>
            <w:r w:rsidRPr="002C6173">
              <w:rPr>
                <w:rFonts w:eastAsia="Times New Roman"/>
                <w:sz w:val="16"/>
                <w:szCs w:val="16"/>
                <w:lang w:val="en-US"/>
              </w:rPr>
              <w:t>Main reason for the change in the notice compared to the original notice.</w:t>
            </w:r>
          </w:p>
        </w:tc>
        <w:tc>
          <w:tcPr>
            <w:tcW w:w="227" w:type="pct"/>
            <w:tcBorders>
              <w:top w:val="nil"/>
              <w:left w:val="nil"/>
              <w:bottom w:val="double" w:sz="6" w:space="0" w:color="auto"/>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Code</w:t>
            </w:r>
          </w:p>
        </w:tc>
        <w:tc>
          <w:tcPr>
            <w:tcW w:w="58" w:type="pct"/>
            <w:tcBorders>
              <w:top w:val="nil"/>
              <w:left w:val="nil"/>
              <w:bottom w:val="double" w:sz="6" w:space="0" w:color="auto"/>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nil"/>
              <w:bottom w:val="double" w:sz="6" w:space="0" w:color="auto"/>
              <w:right w:val="nil"/>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2" w:type="pct"/>
            <w:tcBorders>
              <w:top w:val="nil"/>
              <w:left w:val="single" w:sz="4" w:space="0" w:color="auto"/>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70"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95" w:type="pct"/>
            <w:tcBorders>
              <w:top w:val="nil"/>
              <w:left w:val="nil"/>
              <w:bottom w:val="double" w:sz="6" w:space="0" w:color="auto"/>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double" w:sz="6" w:space="0" w:color="000000"/>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58"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4" w:type="pct"/>
            <w:tcBorders>
              <w:top w:val="nil"/>
              <w:left w:val="nil"/>
              <w:bottom w:val="double" w:sz="6" w:space="0" w:color="auto"/>
              <w:right w:val="single" w:sz="4"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c>
          <w:tcPr>
            <w:tcW w:w="67" w:type="pct"/>
            <w:tcBorders>
              <w:top w:val="nil"/>
              <w:left w:val="nil"/>
              <w:bottom w:val="double" w:sz="6" w:space="0" w:color="auto"/>
              <w:right w:val="double" w:sz="6" w:space="0" w:color="auto"/>
            </w:tcBorders>
            <w:shd w:val="clear" w:color="auto" w:fill="auto"/>
            <w:noWrap/>
            <w:vAlign w:val="center"/>
            <w:hideMark/>
          </w:tcPr>
          <w:p w:rsidR="00BB7E02" w:rsidRPr="002C6173" w:rsidRDefault="00BB7E02" w:rsidP="00BB7E02">
            <w:pPr>
              <w:spacing w:before="0" w:after="0"/>
              <w:jc w:val="center"/>
              <w:rPr>
                <w:rFonts w:eastAsia="Times New Roman"/>
                <w:sz w:val="16"/>
                <w:szCs w:val="16"/>
                <w:lang w:val="en-US"/>
              </w:rPr>
            </w:pPr>
            <w:r w:rsidRPr="002C6173">
              <w:rPr>
                <w:rFonts w:eastAsia="Times New Roman"/>
                <w:sz w:val="16"/>
                <w:szCs w:val="16"/>
                <w:lang w:val="en-US"/>
              </w:rPr>
              <w:t> </w:t>
            </w:r>
          </w:p>
        </w:tc>
      </w:tr>
    </w:tbl>
    <w:p w:rsidR="006340BB" w:rsidRPr="0019282E" w:rsidRDefault="006340BB" w:rsidP="006340BB">
      <w:pPr>
        <w:spacing w:before="0" w:after="200" w:line="276" w:lineRule="auto"/>
        <w:jc w:val="left"/>
        <w:rPr>
          <w:i/>
          <w:lang w:val="en-IE"/>
        </w:rPr>
      </w:pPr>
    </w:p>
    <w:p w:rsidR="006340BB" w:rsidRPr="009F3935" w:rsidRDefault="006340BB" w:rsidP="006340BB"/>
    <w:p w:rsidR="00C36E0D" w:rsidRPr="006340BB" w:rsidRDefault="00C36E0D" w:rsidP="006340BB"/>
    <w:sectPr w:rsidR="00C36E0D" w:rsidRPr="006340BB" w:rsidSect="000F5B4A">
      <w:headerReference w:type="default" r:id="rId18"/>
      <w:footerReference w:type="default" r:id="rId19"/>
      <w:headerReference w:type="first" r:id="rId20"/>
      <w:footerReference w:type="first" r:id="rId21"/>
      <w:pgSz w:w="16839" w:h="11907" w:orient="landscape"/>
      <w:pgMar w:top="1417" w:right="1134" w:bottom="1417"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C8A" w:rsidRDefault="00816C8A" w:rsidP="006340BB">
      <w:pPr>
        <w:spacing w:before="0" w:after="0"/>
      </w:pPr>
      <w:r>
        <w:separator/>
      </w:r>
    </w:p>
  </w:endnote>
  <w:endnote w:type="continuationSeparator" w:id="0">
    <w:p w:rsidR="00816C8A" w:rsidRDefault="00816C8A" w:rsidP="006340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C8A" w:rsidRPr="000F5B4A" w:rsidRDefault="000F5B4A" w:rsidP="000F5B4A">
    <w:pPr>
      <w:pStyle w:val="Footer"/>
      <w:rPr>
        <w:rFonts w:ascii="Arial" w:hAnsi="Arial" w:cs="Arial"/>
        <w:b/>
        <w:sz w:val="48"/>
      </w:rPr>
    </w:pPr>
    <w:r w:rsidRPr="000F5B4A">
      <w:rPr>
        <w:rFonts w:ascii="Arial" w:hAnsi="Arial" w:cs="Arial"/>
        <w:b/>
        <w:sz w:val="48"/>
      </w:rPr>
      <w:t>EN</w:t>
    </w:r>
    <w:r w:rsidRPr="000F5B4A">
      <w:rPr>
        <w:rFonts w:ascii="Arial" w:hAnsi="Arial" w:cs="Arial"/>
        <w:b/>
        <w:sz w:val="48"/>
      </w:rPr>
      <w:tab/>
    </w:r>
    <w:r w:rsidRPr="000F5B4A">
      <w:rPr>
        <w:rFonts w:ascii="Arial" w:hAnsi="Arial" w:cs="Arial"/>
        <w:b/>
        <w:sz w:val="48"/>
      </w:rPr>
      <w:tab/>
    </w:r>
    <w:r w:rsidRPr="000F5B4A">
      <w:tab/>
    </w:r>
    <w:r w:rsidRPr="000F5B4A">
      <w:rPr>
        <w:rFonts w:ascii="Arial" w:hAnsi="Arial" w:cs="Arial"/>
        <w:b/>
        <w:sz w:val="48"/>
      </w:rPr>
      <w:t>EN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FooterLandscape"/>
      <w:rPr>
        <w:rFonts w:ascii="Arial" w:hAnsi="Arial" w:cs="Arial"/>
        <w:b/>
        <w:sz w:val="48"/>
      </w:rPr>
    </w:pPr>
    <w:r w:rsidRPr="000F5B4A">
      <w:rPr>
        <w:rFonts w:ascii="Arial" w:hAnsi="Arial" w:cs="Arial"/>
        <w:b/>
        <w:sz w:val="48"/>
      </w:rPr>
      <w:t>EN</w:t>
    </w:r>
    <w:r w:rsidRPr="000F5B4A">
      <w:rPr>
        <w:rFonts w:ascii="Arial" w:hAnsi="Arial" w:cs="Arial"/>
        <w:b/>
        <w:sz w:val="48"/>
      </w:rPr>
      <w:tab/>
    </w:r>
    <w:r>
      <w:fldChar w:fldCharType="begin"/>
    </w:r>
    <w:r>
      <w:instrText xml:space="preserve"> PAGE  \* MERGEFORMAT </w:instrText>
    </w:r>
    <w:r>
      <w:fldChar w:fldCharType="separate"/>
    </w:r>
    <w:r w:rsidR="00CE433F">
      <w:rPr>
        <w:noProof/>
      </w:rPr>
      <w:t>2</w:t>
    </w:r>
    <w:r>
      <w:fldChar w:fldCharType="end"/>
    </w:r>
    <w:r>
      <w:tab/>
    </w:r>
    <w:r w:rsidRPr="000F5B4A">
      <w:tab/>
    </w:r>
    <w:r w:rsidRPr="000F5B4A">
      <w:rPr>
        <w:rFonts w:ascii="Arial" w:hAnsi="Arial" w:cs="Arial"/>
        <w:b/>
        <w:sz w:val="48"/>
      </w:rPr>
      <w:t>EN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FooterLandscap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Footer"/>
      <w:rPr>
        <w:rFonts w:ascii="Arial" w:hAnsi="Arial" w:cs="Arial"/>
        <w:b/>
        <w:sz w:val="48"/>
      </w:rPr>
    </w:pPr>
    <w:r w:rsidRPr="000F5B4A">
      <w:rPr>
        <w:rFonts w:ascii="Arial" w:hAnsi="Arial" w:cs="Arial"/>
        <w:b/>
        <w:sz w:val="48"/>
      </w:rPr>
      <w:t>EN</w:t>
    </w:r>
    <w:r w:rsidRPr="000F5B4A">
      <w:rPr>
        <w:rFonts w:ascii="Arial" w:hAnsi="Arial" w:cs="Arial"/>
        <w:b/>
        <w:sz w:val="48"/>
      </w:rPr>
      <w:tab/>
    </w:r>
    <w:r>
      <w:fldChar w:fldCharType="begin"/>
    </w:r>
    <w:r>
      <w:instrText xml:space="preserve"> PAGE  \* MERGEFORMAT </w:instrText>
    </w:r>
    <w:r>
      <w:fldChar w:fldCharType="separate"/>
    </w:r>
    <w:r w:rsidR="00CE433F">
      <w:rPr>
        <w:noProof/>
      </w:rPr>
      <w:t>4</w:t>
    </w:r>
    <w:r>
      <w:fldChar w:fldCharType="end"/>
    </w:r>
    <w:r>
      <w:tab/>
    </w:r>
    <w:r w:rsidRPr="000F5B4A">
      <w:tab/>
    </w:r>
    <w:r w:rsidRPr="000F5B4A">
      <w:rPr>
        <w:rFonts w:ascii="Arial" w:hAnsi="Arial" w:cs="Arial"/>
        <w:b/>
        <w:sz w:val="48"/>
      </w:rPr>
      <w:t>EN</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FooterLandscape"/>
      <w:rPr>
        <w:rFonts w:ascii="Arial" w:hAnsi="Arial" w:cs="Arial"/>
        <w:b/>
        <w:sz w:val="48"/>
      </w:rPr>
    </w:pPr>
    <w:r w:rsidRPr="000F5B4A">
      <w:rPr>
        <w:rFonts w:ascii="Arial" w:hAnsi="Arial" w:cs="Arial"/>
        <w:b/>
        <w:sz w:val="48"/>
      </w:rPr>
      <w:t>EN</w:t>
    </w:r>
    <w:r w:rsidRPr="000F5B4A">
      <w:rPr>
        <w:rFonts w:ascii="Arial" w:hAnsi="Arial" w:cs="Arial"/>
        <w:b/>
        <w:sz w:val="48"/>
      </w:rPr>
      <w:tab/>
    </w:r>
    <w:r>
      <w:fldChar w:fldCharType="begin"/>
    </w:r>
    <w:r>
      <w:instrText xml:space="preserve"> PAGE  \* MERGEFORMAT </w:instrText>
    </w:r>
    <w:r>
      <w:fldChar w:fldCharType="separate"/>
    </w:r>
    <w:r w:rsidR="00CE433F">
      <w:rPr>
        <w:noProof/>
      </w:rPr>
      <w:t>30</w:t>
    </w:r>
    <w:r>
      <w:fldChar w:fldCharType="end"/>
    </w:r>
    <w:r>
      <w:tab/>
    </w:r>
    <w:r w:rsidRPr="000F5B4A">
      <w:tab/>
    </w:r>
    <w:r w:rsidRPr="000F5B4A">
      <w:rPr>
        <w:rFonts w:ascii="Arial" w:hAnsi="Arial" w:cs="Arial"/>
        <w:b/>
        <w:sz w:val="48"/>
      </w:rPr>
      <w:t>EN</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FooterLandscap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C8A" w:rsidRDefault="00816C8A" w:rsidP="006340BB">
      <w:pPr>
        <w:spacing w:before="0" w:after="0"/>
      </w:pPr>
      <w:r>
        <w:separator/>
      </w:r>
    </w:p>
  </w:footnote>
  <w:footnote w:type="continuationSeparator" w:id="0">
    <w:p w:rsidR="00816C8A" w:rsidRDefault="00816C8A" w:rsidP="006340BB">
      <w:pPr>
        <w:spacing w:before="0" w:after="0"/>
      </w:pPr>
      <w:r>
        <w:continuationSeparator/>
      </w:r>
    </w:p>
  </w:footnote>
  <w:footnote w:id="1">
    <w:p w:rsidR="00816C8A" w:rsidRPr="00CA204B" w:rsidRDefault="00816C8A" w:rsidP="006340BB">
      <w:pPr>
        <w:pStyle w:val="FootnoteText"/>
        <w:rPr>
          <w:lang w:val="en-US"/>
        </w:rPr>
      </w:pPr>
      <w:r>
        <w:rPr>
          <w:rStyle w:val="FootnoteReference"/>
        </w:rPr>
        <w:footnoteRef/>
      </w:r>
      <w:r>
        <w:rPr>
          <w:lang w:val="en-US"/>
        </w:rPr>
        <w:tab/>
      </w:r>
      <w:r w:rsidRPr="004918A8">
        <w:t>OJ L 3, 6.1.2016, p. 16–34</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HeaderLandscap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HeaderLandscap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HeaderLandscap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B4A" w:rsidRPr="000F5B4A" w:rsidRDefault="000F5B4A" w:rsidP="000F5B4A">
    <w:pPr>
      <w:pStyle w:val="HeaderLandscap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9C34ED1A"/>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217AA8C2"/>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76563DE6"/>
    <w:lvl w:ilvl="0">
      <w:start w:val="1"/>
      <w:numFmt w:val="decimal"/>
      <w:pStyle w:val="ListNumber2"/>
      <w:lvlText w:val="%1."/>
      <w:lvlJc w:val="left"/>
      <w:pPr>
        <w:tabs>
          <w:tab w:val="num" w:pos="643"/>
        </w:tabs>
        <w:ind w:left="643" w:hanging="360"/>
      </w:pPr>
    </w:lvl>
  </w:abstractNum>
  <w:abstractNum w:abstractNumId="3" w15:restartNumberingAfterBreak="0">
    <w:nsid w:val="FFFFFF81"/>
    <w:multiLevelType w:val="singleLevel"/>
    <w:tmpl w:val="C8FA92F4"/>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24F67610"/>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4AE6CBF4"/>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6840D6F8"/>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603AE9C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B3C78B8"/>
    <w:multiLevelType w:val="multilevel"/>
    <w:tmpl w:val="2ED4F4D0"/>
    <w:name w:val="Point"/>
    <w:lvl w:ilvl="0">
      <w:start w:val="1"/>
      <w:numFmt w:val="decimal"/>
      <w:lvlRestart w:val="0"/>
      <w:pStyle w:val="Point0number"/>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pStyle w:val="Point1letter"/>
      <w:lvlText w:val="(%4)"/>
      <w:lvlJc w:val="left"/>
      <w:pPr>
        <w:tabs>
          <w:tab w:val="num" w:pos="1417"/>
        </w:tabs>
        <w:ind w:left="1417" w:hanging="567"/>
      </w:pPr>
    </w:lvl>
    <w:lvl w:ilvl="4">
      <w:start w:val="1"/>
      <w:numFmt w:val="decimal"/>
      <w:pStyle w:val="Point2number"/>
      <w:lvlText w:val="(%5)"/>
      <w:lvlJc w:val="left"/>
      <w:pPr>
        <w:tabs>
          <w:tab w:val="num" w:pos="1984"/>
        </w:tabs>
        <w:ind w:left="1984" w:hanging="567"/>
      </w:pPr>
    </w:lvl>
    <w:lvl w:ilvl="5">
      <w:start w:val="1"/>
      <w:numFmt w:val="lowerLetter"/>
      <w:pStyle w:val="Point2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9"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B72C6E"/>
    <w:multiLevelType w:val="singleLevel"/>
    <w:tmpl w:val="10ACD464"/>
    <w:name w:val="Bullet 3"/>
    <w:lvl w:ilvl="0">
      <w:start w:val="1"/>
      <w:numFmt w:val="bullet"/>
      <w:lvlRestart w:val="0"/>
      <w:pStyle w:val="Bullet3"/>
      <w:lvlText w:val=""/>
      <w:lvlJc w:val="left"/>
      <w:pPr>
        <w:tabs>
          <w:tab w:val="num" w:pos="2551"/>
        </w:tabs>
        <w:ind w:left="2551" w:hanging="567"/>
      </w:pPr>
      <w:rPr>
        <w:rFonts w:ascii="Symbol" w:hAnsi="Symbol" w:hint="default"/>
      </w:rPr>
    </w:lvl>
  </w:abstractNum>
  <w:abstractNum w:abstractNumId="11"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12"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13" w15:restartNumberingAfterBreak="0">
    <w:nsid w:val="42FC0772"/>
    <w:multiLevelType w:val="singleLevel"/>
    <w:tmpl w:val="4128FCF8"/>
    <w:name w:val="Tiret 4"/>
    <w:lvl w:ilvl="0">
      <w:start w:val="1"/>
      <w:numFmt w:val="bullet"/>
      <w:lvlRestart w:val="0"/>
      <w:pStyle w:val="Tiret4"/>
      <w:lvlText w:val="–"/>
      <w:lvlJc w:val="left"/>
      <w:pPr>
        <w:tabs>
          <w:tab w:val="num" w:pos="3118"/>
        </w:tabs>
        <w:ind w:left="3118" w:hanging="567"/>
      </w:pPr>
    </w:lvl>
  </w:abstractNum>
  <w:abstractNum w:abstractNumId="14" w15:restartNumberingAfterBreak="0">
    <w:nsid w:val="4552127F"/>
    <w:multiLevelType w:val="singleLevel"/>
    <w:tmpl w:val="057A5296"/>
    <w:name w:val="Bullet 0"/>
    <w:lvl w:ilvl="0">
      <w:start w:val="1"/>
      <w:numFmt w:val="bullet"/>
      <w:lvlRestart w:val="0"/>
      <w:pStyle w:val="Bullet0"/>
      <w:lvlText w:val=""/>
      <w:lvlJc w:val="left"/>
      <w:pPr>
        <w:tabs>
          <w:tab w:val="num" w:pos="850"/>
        </w:tabs>
        <w:ind w:left="850" w:hanging="850"/>
      </w:pPr>
      <w:rPr>
        <w:rFonts w:ascii="Symbol" w:hAnsi="Symbol" w:hint="default"/>
      </w:rPr>
    </w:lvl>
  </w:abstractNum>
  <w:abstractNum w:abstractNumId="15" w15:restartNumberingAfterBreak="0">
    <w:nsid w:val="556E1D63"/>
    <w:multiLevelType w:val="singleLevel"/>
    <w:tmpl w:val="493AAFF0"/>
    <w:name w:val="Bullet 4"/>
    <w:lvl w:ilvl="0">
      <w:start w:val="1"/>
      <w:numFmt w:val="bullet"/>
      <w:lvlRestart w:val="0"/>
      <w:pStyle w:val="Bullet4"/>
      <w:lvlText w:val=""/>
      <w:lvlJc w:val="left"/>
      <w:pPr>
        <w:tabs>
          <w:tab w:val="num" w:pos="3118"/>
        </w:tabs>
        <w:ind w:left="3118" w:hanging="567"/>
      </w:pPr>
      <w:rPr>
        <w:rFonts w:ascii="Symbol" w:hAnsi="Symbol" w:hint="default"/>
      </w:rPr>
    </w:lvl>
  </w:abstractNum>
  <w:abstractNum w:abstractNumId="16" w15:restartNumberingAfterBreak="0">
    <w:nsid w:val="5B395AAA"/>
    <w:multiLevelType w:val="singleLevel"/>
    <w:tmpl w:val="96D02E8A"/>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17" w15:restartNumberingAfterBreak="0">
    <w:nsid w:val="5C056EE5"/>
    <w:multiLevelType w:val="singleLevel"/>
    <w:tmpl w:val="3378D27C"/>
    <w:name w:val="Bullet 2"/>
    <w:lvl w:ilvl="0">
      <w:start w:val="1"/>
      <w:numFmt w:val="bullet"/>
      <w:lvlRestart w:val="0"/>
      <w:pStyle w:val="Bullet2"/>
      <w:lvlText w:val=""/>
      <w:lvlJc w:val="left"/>
      <w:pPr>
        <w:tabs>
          <w:tab w:val="num" w:pos="1984"/>
        </w:tabs>
        <w:ind w:left="1984" w:hanging="567"/>
      </w:pPr>
      <w:rPr>
        <w:rFonts w:ascii="Symbol" w:hAnsi="Symbol" w:hint="default"/>
      </w:rPr>
    </w:lvl>
  </w:abstractNum>
  <w:abstractNum w:abstractNumId="18"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19" w15:restartNumberingAfterBreak="0">
    <w:nsid w:val="64A12FA4"/>
    <w:multiLevelType w:val="multilevel"/>
    <w:tmpl w:val="428ECF3E"/>
    <w:name w:val="Heading"/>
    <w:lvl w:ilvl="0">
      <w:start w:val="1"/>
      <w:numFmt w:val="decimal"/>
      <w:lvlRestart w:val="0"/>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7B856F6"/>
    <w:multiLevelType w:val="singleLevel"/>
    <w:tmpl w:val="0AB28E9C"/>
    <w:name w:val="Tiret 2"/>
    <w:lvl w:ilvl="0">
      <w:start w:val="1"/>
      <w:numFmt w:val="bullet"/>
      <w:lvlRestart w:val="0"/>
      <w:pStyle w:val="Tiret2"/>
      <w:lvlText w:val="–"/>
      <w:lvlJc w:val="left"/>
      <w:pPr>
        <w:tabs>
          <w:tab w:val="num" w:pos="1984"/>
        </w:tabs>
        <w:ind w:left="1984" w:hanging="567"/>
      </w:pPr>
    </w:lvl>
  </w:abstractNum>
  <w:abstractNum w:abstractNumId="21" w15:restartNumberingAfterBreak="0">
    <w:nsid w:val="7CBE4812"/>
    <w:multiLevelType w:val="singleLevel"/>
    <w:tmpl w:val="23C821E4"/>
    <w:name w:val="Considérant"/>
    <w:lvl w:ilvl="0">
      <w:start w:val="1"/>
      <w:numFmt w:val="decimal"/>
      <w:lvlRestart w:val="0"/>
      <w:pStyle w:val="Considrant"/>
      <w:lvlText w:val="(%1)"/>
      <w:lvlJc w:val="left"/>
      <w:pPr>
        <w:tabs>
          <w:tab w:val="num" w:pos="709"/>
        </w:tabs>
        <w:ind w:left="709" w:hanging="709"/>
      </w:pPr>
    </w:lvl>
  </w:abstractNum>
  <w:num w:numId="1">
    <w:abstractNumId w:val="6"/>
  </w:num>
  <w:num w:numId="2">
    <w:abstractNumId w:val="7"/>
  </w:num>
  <w:num w:numId="3">
    <w:abstractNumId w:val="5"/>
  </w:num>
  <w:num w:numId="4">
    <w:abstractNumId w:val="4"/>
  </w:num>
  <w:num w:numId="5">
    <w:abstractNumId w:val="3"/>
  </w:num>
  <w:num w:numId="6">
    <w:abstractNumId w:val="2"/>
  </w:num>
  <w:num w:numId="7">
    <w:abstractNumId w:val="1"/>
  </w:num>
  <w:num w:numId="8">
    <w:abstractNumId w:val="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num>
  <w:num w:numId="11">
    <w:abstractNumId w:val="12"/>
    <w:lvlOverride w:ilvl="0">
      <w:startOverride w:val="1"/>
    </w:lvlOverride>
  </w:num>
  <w:num w:numId="12">
    <w:abstractNumId w:val="18"/>
  </w:num>
  <w:num w:numId="13">
    <w:abstractNumId w:val="12"/>
  </w:num>
  <w:num w:numId="14">
    <w:abstractNumId w:val="20"/>
  </w:num>
  <w:num w:numId="15">
    <w:abstractNumId w:val="11"/>
  </w:num>
  <w:num w:numId="16">
    <w:abstractNumId w:val="13"/>
  </w:num>
  <w:num w:numId="17">
    <w:abstractNumId w:val="9"/>
  </w:num>
  <w:num w:numId="18">
    <w:abstractNumId w:val="19"/>
  </w:num>
  <w:num w:numId="19">
    <w:abstractNumId w:val="8"/>
  </w:num>
  <w:num w:numId="20">
    <w:abstractNumId w:val="14"/>
  </w:num>
  <w:num w:numId="21">
    <w:abstractNumId w:val="16"/>
  </w:num>
  <w:num w:numId="22">
    <w:abstractNumId w:val="17"/>
  </w:num>
  <w:num w:numId="23">
    <w:abstractNumId w:val="10"/>
  </w:num>
  <w:num w:numId="24">
    <w:abstractNumId w:val="15"/>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QCDateTime" w:val="2019-01-24 13:44:11"/>
    <w:docVar w:name="DQCResult_Distribution" w:val="0;0"/>
    <w:docVar w:name="DQCResult_DocumentContent" w:val="0;0"/>
    <w:docVar w:name="DQCResult_DocumentSize" w:val="0;0"/>
    <w:docVar w:name="DQCResult_DocumentVersions" w:val="0;0"/>
    <w:docVar w:name="DQCResult_InvalidFootnotes" w:val="0;0"/>
    <w:docVar w:name="DQCResult_LinkedStyles" w:val="0;0"/>
    <w:docVar w:name="DQCResult_ModifiedMargins" w:val="0;2"/>
    <w:docVar w:name="DQCResult_ModifiedMarkers" w:val="0;0"/>
    <w:docVar w:name="DQCResult_ModifiedNumbering" w:val="0;0"/>
    <w:docVar w:name="DQCResult_Objects" w:val="0;0"/>
    <w:docVar w:name="DQCResult_Sections" w:val="0;0"/>
    <w:docVar w:name="DQCResult_StructureCheck" w:val="0;0"/>
    <w:docVar w:name="DQCResult_SuperfluousWhitespace" w:val="0;242"/>
    <w:docVar w:name="DQCResult_UnknownFonts" w:val="0;0"/>
    <w:docVar w:name="DQCResult_UnknownStyles" w:val="0;0"/>
    <w:docVar w:name="DQCStatus" w:val="Yellow"/>
    <w:docVar w:name="DQCVersion" w:val="3"/>
    <w:docVar w:name="DQCWithWarnings" w:val="0"/>
    <w:docVar w:name="LW_ACCOMPAGNANT.CP" w:val="to the"/>
    <w:docVar w:name="LW_ANNEX_NBR_FIRST" w:val="1"/>
    <w:docVar w:name="LW_ANNEX_NBR_LAST" w:val="1"/>
    <w:docVar w:name="LW_ANNEX_UNIQUE" w:val="1"/>
    <w:docVar w:name="LW_CORRIGENDUM" w:val="&lt;UNUSED&gt;"/>
    <w:docVar w:name="LW_COVERPAGE_EXISTS" w:val="True"/>
    <w:docVar w:name="LW_COVERPAGE_GUID" w:val="E3A06C79-18FA-4E0D-8A54-EA324001407E"/>
    <w:docVar w:name="LW_COVERPAGE_TYPE" w:val="1"/>
    <w:docVar w:name="LW_CROSSREFERENCE" w:val="&lt;UNUSED&gt;"/>
    <w:docVar w:name="LW_DocType" w:val="ANNEX"/>
    <w:docVar w:name="LW_EMISSION" w:val="&lt;EMPTY&gt;"/>
    <w:docVar w:name="LW_EMISSION_ISODATE" w:val="&lt;EMPTY&gt;"/>
    <w:docVar w:name="LW_EMISSION_LOCATION" w:val="BRX"/>
    <w:docVar w:name="LW_EMISSION_PREFIX" w:val="Brussels, "/>
    <w:docVar w:name="LW_EMISSION_SUFFIX" w:val=" "/>
    <w:docVar w:name="LW_ID_DOCSTRUCTURE" w:val="COM/ANNEX"/>
    <w:docVar w:name="LW_ID_DOCTYPE" w:val="SG-068"/>
    <w:docVar w:name="LW_LANGUE" w:val="EN"/>
    <w:docVar w:name="LW_LEVEL_OF_SENSITIVITY" w:val="Standard treatment"/>
    <w:docVar w:name="LW_NOM.INST" w:val="EUROPEAN COMMISSION"/>
    <w:docVar w:name="LW_NOM.INST_JOINTDOC" w:val="&lt;EMPTY&gt;"/>
    <w:docVar w:name="LW_OBJETACTEPRINCIPAL.CP" w:val="establishing standard forms for the publication of notices in the field of public procurement and repealing Implementing Regulation (EU) No 2015/1986"/>
    <w:docVar w:name="LW_PART_NBR" w:val="&lt;UNUSED&gt;"/>
    <w:docVar w:name="LW_PART_NBR_TOTAL" w:val="&lt;UNUSED&gt;"/>
    <w:docVar w:name="LW_REF.INST.NEW" w:val="&lt;EMPTY&gt;"/>
    <w:docVar w:name="LW_REF.INST.NEW_ADOPTED" w:val="draft"/>
    <w:docVar w:name="LW_REF.INST.NEW_TEXT" w:val="(2018) XXX"/>
    <w:docVar w:name="LW_REF.INTERNE" w:val="&lt;UNUSED&gt;"/>
    <w:docVar w:name="LW_SENSITIVITY" w:val="&lt;?xml version=&quot;1.0&quot; encoding=&quot;utf-8&quot;?&gt;_x000d__x000a_&lt;SensitivityLevel xmlns:xsi=&quot;http://www.w3.org/2001/XMLSchema-instance&quot; xmlns:xsd=&quot;http://www.w3.org/2001/XMLSchema&quot; id=&quot;standard&quot;&gt;_x000d__x000a_  &lt;nicename EN=&quot;Standard treatment&quot; FR=&quot;Traitement standard&quot; /&gt;_x000d__x000a_  &lt;documentProperty&gt;Standard treatment&lt;/documentProperty&gt;_x000d__x000a_  &lt;marking xsi:nil=&quot;true&quot; /&gt;_x000d__x000a_  &lt;limited xsi:nil=&quot;true&quot; /&gt;_x000d__x000a_  &lt;detached xsi:nil=&quot;true&quot; /&gt;_x000d__x000a_  &lt;declassify xsi:nil=&quot;true&quot; /&gt;_x000d__x000a_  &lt;headerTexts xsi:nil=&quot;true&quot; /&gt;_x000d__x000a_  &lt;footerTexts xsi:nil=&quot;true&quot; /&gt;_x000d__x000a_  &lt;footnote xsi:nil=&quot;true&quot; /&gt;_x000d__x000a_  &lt;isRestricted&gt;false&lt;/isRestricted&gt;_x000d__x000a_&lt;/SensitivityLevel&gt;"/>
    <w:docVar w:name="LW_SUPERTITRE" w:val="&lt;UNUSED&gt;"/>
    <w:docVar w:name="LW_TYPE.DOC.CP" w:val="ANNEX"/>
    <w:docVar w:name="LW_TYPEACTEPRINCIPAL.CP" w:val="Commission Implementing Regulation (EU)"/>
  </w:docVars>
  <w:rsids>
    <w:rsidRoot w:val="006340BB"/>
    <w:rsid w:val="00084750"/>
    <w:rsid w:val="00090828"/>
    <w:rsid w:val="000F5B4A"/>
    <w:rsid w:val="00125130"/>
    <w:rsid w:val="001F5266"/>
    <w:rsid w:val="002B5679"/>
    <w:rsid w:val="002B6A1C"/>
    <w:rsid w:val="002C6173"/>
    <w:rsid w:val="00335155"/>
    <w:rsid w:val="003436CE"/>
    <w:rsid w:val="003C2625"/>
    <w:rsid w:val="00444C9D"/>
    <w:rsid w:val="00471AF5"/>
    <w:rsid w:val="004A0FAC"/>
    <w:rsid w:val="004A3DD1"/>
    <w:rsid w:val="004C27A2"/>
    <w:rsid w:val="00551AB2"/>
    <w:rsid w:val="005A0B44"/>
    <w:rsid w:val="00605DFB"/>
    <w:rsid w:val="00614BFA"/>
    <w:rsid w:val="00632FD5"/>
    <w:rsid w:val="006340BB"/>
    <w:rsid w:val="006412DA"/>
    <w:rsid w:val="00705842"/>
    <w:rsid w:val="00780467"/>
    <w:rsid w:val="00816C8A"/>
    <w:rsid w:val="0084496A"/>
    <w:rsid w:val="008452CD"/>
    <w:rsid w:val="00851E38"/>
    <w:rsid w:val="008A0E04"/>
    <w:rsid w:val="008E1B29"/>
    <w:rsid w:val="008E7A7F"/>
    <w:rsid w:val="008F7973"/>
    <w:rsid w:val="009131B4"/>
    <w:rsid w:val="00967CDA"/>
    <w:rsid w:val="009B3FE0"/>
    <w:rsid w:val="009F528B"/>
    <w:rsid w:val="00A170A9"/>
    <w:rsid w:val="00AC5C07"/>
    <w:rsid w:val="00BB7E02"/>
    <w:rsid w:val="00BD2A66"/>
    <w:rsid w:val="00C36E0D"/>
    <w:rsid w:val="00C50E3E"/>
    <w:rsid w:val="00C627F5"/>
    <w:rsid w:val="00C66E7E"/>
    <w:rsid w:val="00C81142"/>
    <w:rsid w:val="00CA05AD"/>
    <w:rsid w:val="00CE433F"/>
    <w:rsid w:val="00DE3511"/>
    <w:rsid w:val="00DE4D61"/>
    <w:rsid w:val="00EB2FBF"/>
    <w:rsid w:val="00EC3566"/>
    <w:rsid w:val="00F61322"/>
    <w:rsid w:val="00FF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0A5B2C"/>
  <w15:docId w15:val="{1CD1C6AC-5C0B-4390-818D-E1D64B6C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240" w:lineRule="auto"/>
      <w:jc w:val="both"/>
    </w:pPr>
    <w:rPr>
      <w:rFonts w:ascii="Times New Roman" w:hAnsi="Times New Roman" w:cs="Times New Roman"/>
      <w:sz w:val="24"/>
      <w:lang w:val="en-GB"/>
    </w:rPr>
  </w:style>
  <w:style w:type="paragraph" w:styleId="Heading1">
    <w:name w:val="heading 1"/>
    <w:basedOn w:val="Normal"/>
    <w:next w:val="Text1"/>
    <w:link w:val="Heading1Char"/>
    <w:uiPriority w:val="9"/>
    <w:qFormat/>
    <w:rsid w:val="00471AF5"/>
    <w:pPr>
      <w:keepNext/>
      <w:numPr>
        <w:numId w:val="18"/>
      </w:numPr>
      <w:spacing w:before="360"/>
      <w:outlineLvl w:val="0"/>
    </w:pPr>
    <w:rPr>
      <w:rFonts w:eastAsiaTheme="majorEastAsia"/>
      <w:b/>
      <w:bCs/>
      <w:smallCaps/>
      <w:szCs w:val="28"/>
    </w:rPr>
  </w:style>
  <w:style w:type="paragraph" w:styleId="Heading2">
    <w:name w:val="heading 2"/>
    <w:basedOn w:val="Normal"/>
    <w:next w:val="Text1"/>
    <w:link w:val="Heading2Char"/>
    <w:uiPriority w:val="9"/>
    <w:semiHidden/>
    <w:unhideWhenUsed/>
    <w:qFormat/>
    <w:rsid w:val="00471AF5"/>
    <w:pPr>
      <w:keepNext/>
      <w:numPr>
        <w:ilvl w:val="1"/>
        <w:numId w:val="18"/>
      </w:numPr>
      <w:outlineLvl w:val="1"/>
    </w:pPr>
    <w:rPr>
      <w:rFonts w:eastAsiaTheme="majorEastAsia"/>
      <w:b/>
      <w:bCs/>
      <w:szCs w:val="26"/>
    </w:rPr>
  </w:style>
  <w:style w:type="paragraph" w:styleId="Heading3">
    <w:name w:val="heading 3"/>
    <w:basedOn w:val="Normal"/>
    <w:next w:val="Text1"/>
    <w:link w:val="Heading3Char"/>
    <w:uiPriority w:val="9"/>
    <w:semiHidden/>
    <w:unhideWhenUsed/>
    <w:qFormat/>
    <w:rsid w:val="00471AF5"/>
    <w:pPr>
      <w:keepNext/>
      <w:numPr>
        <w:ilvl w:val="2"/>
        <w:numId w:val="18"/>
      </w:numPr>
      <w:outlineLvl w:val="2"/>
    </w:pPr>
    <w:rPr>
      <w:rFonts w:eastAsiaTheme="majorEastAsia"/>
      <w:bCs/>
      <w:i/>
    </w:rPr>
  </w:style>
  <w:style w:type="paragraph" w:styleId="Heading4">
    <w:name w:val="heading 4"/>
    <w:basedOn w:val="Normal"/>
    <w:next w:val="Text1"/>
    <w:link w:val="Heading4Char"/>
    <w:uiPriority w:val="9"/>
    <w:semiHidden/>
    <w:unhideWhenUsed/>
    <w:qFormat/>
    <w:rsid w:val="00471AF5"/>
    <w:pPr>
      <w:keepNext/>
      <w:numPr>
        <w:ilvl w:val="3"/>
        <w:numId w:val="18"/>
      </w:numPr>
      <w:outlineLvl w:val="3"/>
    </w:pPr>
    <w:rPr>
      <w:rFonts w:eastAsiaTheme="majorEastAsia"/>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objet">
    <w:name w:val="Titre objet"/>
    <w:basedOn w:val="Normal"/>
    <w:next w:val="IntrtEEE"/>
    <w:rsid w:val="006340BB"/>
    <w:pPr>
      <w:spacing w:before="360" w:after="360"/>
      <w:jc w:val="center"/>
    </w:pPr>
    <w:rPr>
      <w:b/>
    </w:rPr>
  </w:style>
  <w:style w:type="paragraph" w:customStyle="1" w:styleId="TitreobjetPagedecouverture">
    <w:name w:val="Titre objet (Page de couverture)"/>
    <w:basedOn w:val="Titreobjet"/>
    <w:next w:val="IntrtEEEPagedecouverture"/>
    <w:rsid w:val="006340BB"/>
  </w:style>
  <w:style w:type="paragraph" w:styleId="ListNumber">
    <w:name w:val="List Number"/>
    <w:basedOn w:val="Normal"/>
    <w:uiPriority w:val="99"/>
    <w:semiHidden/>
    <w:unhideWhenUsed/>
    <w:rsid w:val="006340BB"/>
    <w:pPr>
      <w:numPr>
        <w:numId w:val="1"/>
      </w:numPr>
      <w:contextualSpacing/>
    </w:pPr>
    <w:rPr>
      <w:rFonts w:eastAsia="Calibri"/>
      <w:lang w:eastAsia="en-GB"/>
    </w:rPr>
  </w:style>
  <w:style w:type="character" w:styleId="CommentReference">
    <w:name w:val="annotation reference"/>
    <w:uiPriority w:val="99"/>
    <w:semiHidden/>
    <w:unhideWhenUsed/>
    <w:rsid w:val="006340BB"/>
    <w:rPr>
      <w:sz w:val="16"/>
      <w:szCs w:val="16"/>
    </w:rPr>
  </w:style>
  <w:style w:type="paragraph" w:styleId="CommentText">
    <w:name w:val="annotation text"/>
    <w:basedOn w:val="Normal"/>
    <w:link w:val="CommentTextChar"/>
    <w:uiPriority w:val="99"/>
    <w:semiHidden/>
    <w:unhideWhenUsed/>
    <w:rsid w:val="006340BB"/>
    <w:rPr>
      <w:rFonts w:eastAsia="Calibri"/>
      <w:sz w:val="20"/>
      <w:szCs w:val="20"/>
      <w:lang w:eastAsia="en-GB"/>
    </w:rPr>
  </w:style>
  <w:style w:type="character" w:customStyle="1" w:styleId="CommentTextChar">
    <w:name w:val="Comment Text Char"/>
    <w:basedOn w:val="DefaultParagraphFont"/>
    <w:link w:val="CommentText"/>
    <w:uiPriority w:val="99"/>
    <w:semiHidden/>
    <w:rsid w:val="006340BB"/>
    <w:rPr>
      <w:rFonts w:ascii="Times New Roman" w:eastAsia="Calibri" w:hAnsi="Times New Roman" w:cs="Times New Roman"/>
      <w:sz w:val="20"/>
      <w:szCs w:val="20"/>
      <w:lang w:val="en-GB" w:eastAsia="en-GB"/>
    </w:rPr>
  </w:style>
  <w:style w:type="paragraph" w:styleId="NormalWeb">
    <w:name w:val="Normal (Web)"/>
    <w:basedOn w:val="Normal"/>
    <w:uiPriority w:val="99"/>
    <w:unhideWhenUsed/>
    <w:rsid w:val="006340BB"/>
    <w:pPr>
      <w:spacing w:before="100" w:beforeAutospacing="1" w:after="100" w:afterAutospacing="1"/>
      <w:jc w:val="left"/>
    </w:pPr>
    <w:rPr>
      <w:rFonts w:eastAsia="Times New Roman"/>
      <w:szCs w:val="24"/>
      <w:lang w:val="en-US"/>
    </w:rPr>
  </w:style>
  <w:style w:type="paragraph" w:styleId="BalloonText">
    <w:name w:val="Balloon Text"/>
    <w:basedOn w:val="Normal"/>
    <w:link w:val="BalloonTextChar"/>
    <w:uiPriority w:val="99"/>
    <w:semiHidden/>
    <w:unhideWhenUsed/>
    <w:rsid w:val="006340B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0BB"/>
    <w:rPr>
      <w:rFonts w:ascii="Tahoma" w:hAnsi="Tahoma" w:cs="Tahoma"/>
      <w:sz w:val="16"/>
      <w:szCs w:val="16"/>
      <w:lang w:val="en-GB"/>
    </w:rPr>
  </w:style>
  <w:style w:type="paragraph" w:styleId="ListBullet">
    <w:name w:val="List Bullet"/>
    <w:basedOn w:val="Normal"/>
    <w:uiPriority w:val="99"/>
    <w:semiHidden/>
    <w:unhideWhenUsed/>
    <w:rsid w:val="006340BB"/>
    <w:pPr>
      <w:numPr>
        <w:numId w:val="2"/>
      </w:numPr>
      <w:contextualSpacing/>
    </w:pPr>
  </w:style>
  <w:style w:type="paragraph" w:styleId="ListBullet2">
    <w:name w:val="List Bullet 2"/>
    <w:basedOn w:val="Normal"/>
    <w:uiPriority w:val="99"/>
    <w:semiHidden/>
    <w:unhideWhenUsed/>
    <w:rsid w:val="006340BB"/>
    <w:pPr>
      <w:numPr>
        <w:numId w:val="3"/>
      </w:numPr>
      <w:contextualSpacing/>
    </w:pPr>
  </w:style>
  <w:style w:type="paragraph" w:styleId="ListBullet3">
    <w:name w:val="List Bullet 3"/>
    <w:basedOn w:val="Normal"/>
    <w:uiPriority w:val="99"/>
    <w:semiHidden/>
    <w:unhideWhenUsed/>
    <w:rsid w:val="006340BB"/>
    <w:pPr>
      <w:numPr>
        <w:numId w:val="4"/>
      </w:numPr>
      <w:contextualSpacing/>
    </w:pPr>
  </w:style>
  <w:style w:type="paragraph" w:styleId="ListBullet4">
    <w:name w:val="List Bullet 4"/>
    <w:basedOn w:val="Normal"/>
    <w:uiPriority w:val="99"/>
    <w:semiHidden/>
    <w:unhideWhenUsed/>
    <w:rsid w:val="006340BB"/>
    <w:pPr>
      <w:numPr>
        <w:numId w:val="5"/>
      </w:numPr>
      <w:contextualSpacing/>
    </w:pPr>
  </w:style>
  <w:style w:type="paragraph" w:customStyle="1" w:styleId="doc-ti">
    <w:name w:val="doc-ti"/>
    <w:basedOn w:val="Normal"/>
    <w:rsid w:val="006340BB"/>
    <w:pPr>
      <w:spacing w:before="100" w:beforeAutospacing="1" w:after="100" w:afterAutospacing="1"/>
      <w:jc w:val="left"/>
    </w:pPr>
    <w:rPr>
      <w:rFonts w:eastAsia="Times New Roman"/>
      <w:szCs w:val="24"/>
      <w:lang w:eastAsia="en-GB"/>
    </w:rPr>
  </w:style>
  <w:style w:type="paragraph" w:customStyle="1" w:styleId="ti-art">
    <w:name w:val="ti-art"/>
    <w:basedOn w:val="Normal"/>
    <w:rsid w:val="006340BB"/>
    <w:pPr>
      <w:spacing w:before="100" w:beforeAutospacing="1" w:after="100" w:afterAutospacing="1"/>
      <w:jc w:val="left"/>
    </w:pPr>
    <w:rPr>
      <w:rFonts w:eastAsia="Times New Roman"/>
      <w:szCs w:val="24"/>
      <w:lang w:eastAsia="en-GB"/>
    </w:rPr>
  </w:style>
  <w:style w:type="table" w:styleId="TableGrid">
    <w:name w:val="Table Grid"/>
    <w:basedOn w:val="TableNormal"/>
    <w:uiPriority w:val="59"/>
    <w:rsid w:val="00634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40BB"/>
    <w:rPr>
      <w:rFonts w:eastAsiaTheme="minorHAnsi"/>
      <w:b/>
      <w:bCs/>
      <w:lang w:eastAsia="en-US"/>
    </w:rPr>
  </w:style>
  <w:style w:type="character" w:customStyle="1" w:styleId="CommentSubjectChar">
    <w:name w:val="Comment Subject Char"/>
    <w:basedOn w:val="CommentTextChar"/>
    <w:link w:val="CommentSubject"/>
    <w:uiPriority w:val="99"/>
    <w:semiHidden/>
    <w:rsid w:val="006340BB"/>
    <w:rPr>
      <w:rFonts w:ascii="Times New Roman" w:eastAsia="Calibri" w:hAnsi="Times New Roman" w:cs="Times New Roman"/>
      <w:b/>
      <w:bCs/>
      <w:sz w:val="20"/>
      <w:szCs w:val="20"/>
      <w:lang w:val="en-GB" w:eastAsia="en-GB"/>
    </w:rPr>
  </w:style>
  <w:style w:type="character" w:styleId="Hyperlink">
    <w:name w:val="Hyperlink"/>
    <w:basedOn w:val="DefaultParagraphFont"/>
    <w:uiPriority w:val="99"/>
    <w:unhideWhenUsed/>
    <w:rsid w:val="006340BB"/>
    <w:rPr>
      <w:color w:val="0000FF"/>
      <w:u w:val="single"/>
    </w:rPr>
  </w:style>
  <w:style w:type="character" w:styleId="FollowedHyperlink">
    <w:name w:val="FollowedHyperlink"/>
    <w:basedOn w:val="DefaultParagraphFont"/>
    <w:uiPriority w:val="99"/>
    <w:semiHidden/>
    <w:unhideWhenUsed/>
    <w:rsid w:val="006340BB"/>
    <w:rPr>
      <w:color w:val="800080"/>
      <w:u w:val="single"/>
    </w:rPr>
  </w:style>
  <w:style w:type="paragraph" w:customStyle="1" w:styleId="xl66">
    <w:name w:val="xl66"/>
    <w:basedOn w:val="Normal"/>
    <w:rsid w:val="006340BB"/>
    <w:pPr>
      <w:pBdr>
        <w:top w:val="single" w:sz="4" w:space="0" w:color="EEECE1"/>
        <w:bottom w:val="single" w:sz="4" w:space="0" w:color="EEECE1"/>
        <w:right w:val="single" w:sz="4"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67">
    <w:name w:val="xl67"/>
    <w:basedOn w:val="Normal"/>
    <w:rsid w:val="006340BB"/>
    <w:pPr>
      <w:pBdr>
        <w:top w:val="single" w:sz="4" w:space="0" w:color="EEECE1"/>
        <w:bottom w:val="single" w:sz="4" w:space="0" w:color="EEECE1"/>
        <w:right w:val="double" w:sz="6" w:space="0" w:color="auto"/>
      </w:pBdr>
      <w:spacing w:before="100" w:beforeAutospacing="1" w:after="100" w:afterAutospacing="1"/>
      <w:jc w:val="left"/>
      <w:textAlignment w:val="center"/>
    </w:pPr>
    <w:rPr>
      <w:rFonts w:eastAsia="Times New Roman"/>
      <w:sz w:val="16"/>
      <w:szCs w:val="16"/>
      <w:lang w:eastAsia="en-GB"/>
    </w:rPr>
  </w:style>
  <w:style w:type="paragraph" w:customStyle="1" w:styleId="xl68">
    <w:name w:val="xl68"/>
    <w:basedOn w:val="Normal"/>
    <w:rsid w:val="006340BB"/>
    <w:pPr>
      <w:pBdr>
        <w:top w:val="single" w:sz="4" w:space="0" w:color="EEECE1"/>
        <w:left w:val="double" w:sz="6" w:space="0" w:color="auto"/>
        <w:bottom w:val="single" w:sz="4" w:space="0" w:color="EEECE1"/>
      </w:pBdr>
      <w:spacing w:before="100" w:beforeAutospacing="1" w:after="100" w:afterAutospacing="1"/>
      <w:jc w:val="center"/>
      <w:textAlignment w:val="center"/>
    </w:pPr>
    <w:rPr>
      <w:rFonts w:eastAsia="Times New Roman"/>
      <w:sz w:val="16"/>
      <w:szCs w:val="16"/>
      <w:lang w:eastAsia="en-GB"/>
    </w:rPr>
  </w:style>
  <w:style w:type="paragraph" w:customStyle="1" w:styleId="xl69">
    <w:name w:val="xl69"/>
    <w:basedOn w:val="Normal"/>
    <w:rsid w:val="006340BB"/>
    <w:pPr>
      <w:pBdr>
        <w:top w:val="single" w:sz="4" w:space="0" w:color="EEECE1"/>
        <w:bottom w:val="single" w:sz="4" w:space="0" w:color="EEECE1"/>
      </w:pBdr>
      <w:spacing w:before="100" w:beforeAutospacing="1" w:after="100" w:afterAutospacing="1"/>
      <w:jc w:val="center"/>
      <w:textAlignment w:val="center"/>
    </w:pPr>
    <w:rPr>
      <w:rFonts w:eastAsia="Times New Roman"/>
      <w:sz w:val="16"/>
      <w:szCs w:val="16"/>
      <w:lang w:eastAsia="en-GB"/>
    </w:rPr>
  </w:style>
  <w:style w:type="paragraph" w:customStyle="1" w:styleId="xl70">
    <w:name w:val="xl70"/>
    <w:basedOn w:val="Normal"/>
    <w:rsid w:val="006340BB"/>
    <w:pPr>
      <w:pBdr>
        <w:top w:val="single" w:sz="4" w:space="0" w:color="EEECE1"/>
        <w:bottom w:val="single" w:sz="4" w:space="0" w:color="EEECE1"/>
        <w:right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71">
    <w:name w:val="xl71"/>
    <w:basedOn w:val="Normal"/>
    <w:rsid w:val="006340BB"/>
    <w:pPr>
      <w:pBdr>
        <w:top w:val="single" w:sz="4" w:space="0" w:color="EEECE1"/>
        <w:bottom w:val="single" w:sz="4" w:space="0" w:color="EEECE1"/>
        <w:right w:val="double" w:sz="6" w:space="0" w:color="000000"/>
      </w:pBdr>
      <w:spacing w:before="100" w:beforeAutospacing="1" w:after="100" w:afterAutospacing="1"/>
      <w:jc w:val="center"/>
      <w:textAlignment w:val="center"/>
    </w:pPr>
    <w:rPr>
      <w:rFonts w:eastAsia="Times New Roman"/>
      <w:sz w:val="16"/>
      <w:szCs w:val="16"/>
      <w:lang w:eastAsia="en-GB"/>
    </w:rPr>
  </w:style>
  <w:style w:type="paragraph" w:customStyle="1" w:styleId="xl72">
    <w:name w:val="xl72"/>
    <w:basedOn w:val="Normal"/>
    <w:rsid w:val="006340BB"/>
    <w:pPr>
      <w:pBdr>
        <w:top w:val="single" w:sz="4" w:space="0" w:color="EEECE1"/>
        <w:left w:val="single" w:sz="4" w:space="0" w:color="auto"/>
        <w:bottom w:val="single" w:sz="4" w:space="0" w:color="EEECE1"/>
        <w:right w:val="single" w:sz="4"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73">
    <w:name w:val="xl73"/>
    <w:basedOn w:val="Normal"/>
    <w:rsid w:val="006340BB"/>
    <w:pPr>
      <w:pBdr>
        <w:right w:val="double" w:sz="6" w:space="0" w:color="000000"/>
      </w:pBdr>
      <w:spacing w:before="100" w:beforeAutospacing="1" w:after="100" w:afterAutospacing="1"/>
      <w:jc w:val="left"/>
    </w:pPr>
    <w:rPr>
      <w:rFonts w:eastAsia="Times New Roman"/>
      <w:sz w:val="16"/>
      <w:szCs w:val="16"/>
      <w:lang w:eastAsia="en-GB"/>
    </w:rPr>
  </w:style>
  <w:style w:type="paragraph" w:customStyle="1" w:styleId="xl74">
    <w:name w:val="xl74"/>
    <w:basedOn w:val="Normal"/>
    <w:rsid w:val="006340BB"/>
    <w:pPr>
      <w:pBdr>
        <w:right w:val="double" w:sz="6" w:space="0" w:color="auto"/>
      </w:pBdr>
      <w:spacing w:before="100" w:beforeAutospacing="1" w:after="100" w:afterAutospacing="1"/>
      <w:jc w:val="left"/>
    </w:pPr>
    <w:rPr>
      <w:rFonts w:eastAsia="Times New Roman"/>
      <w:sz w:val="16"/>
      <w:szCs w:val="16"/>
      <w:lang w:eastAsia="en-GB"/>
    </w:rPr>
  </w:style>
  <w:style w:type="paragraph" w:customStyle="1" w:styleId="xl75">
    <w:name w:val="xl75"/>
    <w:basedOn w:val="Normal"/>
    <w:rsid w:val="006340BB"/>
    <w:pPr>
      <w:pBdr>
        <w:right w:val="single" w:sz="4" w:space="0" w:color="auto"/>
      </w:pBdr>
      <w:spacing w:before="100" w:beforeAutospacing="1" w:after="100" w:afterAutospacing="1"/>
      <w:jc w:val="left"/>
    </w:pPr>
    <w:rPr>
      <w:rFonts w:eastAsia="Times New Roman"/>
      <w:sz w:val="16"/>
      <w:szCs w:val="16"/>
      <w:lang w:eastAsia="en-GB"/>
    </w:rPr>
  </w:style>
  <w:style w:type="paragraph" w:customStyle="1" w:styleId="xl76">
    <w:name w:val="xl76"/>
    <w:basedOn w:val="Normal"/>
    <w:rsid w:val="006340BB"/>
    <w:pPr>
      <w:spacing w:before="100" w:beforeAutospacing="1" w:after="100" w:afterAutospacing="1"/>
      <w:jc w:val="left"/>
    </w:pPr>
    <w:rPr>
      <w:rFonts w:eastAsia="Times New Roman"/>
      <w:sz w:val="16"/>
      <w:szCs w:val="16"/>
      <w:lang w:eastAsia="en-GB"/>
    </w:rPr>
  </w:style>
  <w:style w:type="paragraph" w:customStyle="1" w:styleId="xl77">
    <w:name w:val="xl77"/>
    <w:basedOn w:val="Normal"/>
    <w:rsid w:val="006340BB"/>
    <w:pPr>
      <w:pBdr>
        <w:right w:val="double" w:sz="6" w:space="0" w:color="auto"/>
      </w:pBdr>
      <w:spacing w:before="100" w:beforeAutospacing="1" w:after="100" w:afterAutospacing="1"/>
      <w:jc w:val="left"/>
    </w:pPr>
    <w:rPr>
      <w:rFonts w:eastAsia="Times New Roman"/>
      <w:sz w:val="16"/>
      <w:szCs w:val="16"/>
      <w:lang w:eastAsia="en-GB"/>
    </w:rPr>
  </w:style>
  <w:style w:type="paragraph" w:customStyle="1" w:styleId="xl78">
    <w:name w:val="xl78"/>
    <w:basedOn w:val="Normal"/>
    <w:rsid w:val="006340BB"/>
    <w:pPr>
      <w:pBdr>
        <w:bottom w:val="single" w:sz="4" w:space="0" w:color="EEECE1"/>
        <w:right w:val="single" w:sz="4"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79">
    <w:name w:val="xl79"/>
    <w:basedOn w:val="Normal"/>
    <w:rsid w:val="006340BB"/>
    <w:pPr>
      <w:pBdr>
        <w:bottom w:val="single" w:sz="4" w:space="0" w:color="EEECE1"/>
        <w:right w:val="double" w:sz="6" w:space="0" w:color="auto"/>
      </w:pBdr>
      <w:spacing w:before="100" w:beforeAutospacing="1" w:after="100" w:afterAutospacing="1"/>
      <w:jc w:val="left"/>
      <w:textAlignment w:val="center"/>
    </w:pPr>
    <w:rPr>
      <w:rFonts w:eastAsia="Times New Roman"/>
      <w:sz w:val="16"/>
      <w:szCs w:val="16"/>
      <w:lang w:eastAsia="en-GB"/>
    </w:rPr>
  </w:style>
  <w:style w:type="paragraph" w:customStyle="1" w:styleId="xl80">
    <w:name w:val="xl80"/>
    <w:basedOn w:val="Normal"/>
    <w:rsid w:val="006340BB"/>
    <w:pPr>
      <w:pBdr>
        <w:left w:val="double" w:sz="6" w:space="0" w:color="auto"/>
        <w:bottom w:val="single" w:sz="4" w:space="0" w:color="EEECE1"/>
      </w:pBdr>
      <w:spacing w:before="100" w:beforeAutospacing="1" w:after="100" w:afterAutospacing="1"/>
      <w:jc w:val="center"/>
      <w:textAlignment w:val="center"/>
    </w:pPr>
    <w:rPr>
      <w:rFonts w:eastAsia="Times New Roman"/>
      <w:sz w:val="16"/>
      <w:szCs w:val="16"/>
      <w:lang w:eastAsia="en-GB"/>
    </w:rPr>
  </w:style>
  <w:style w:type="paragraph" w:customStyle="1" w:styleId="xl81">
    <w:name w:val="xl81"/>
    <w:basedOn w:val="Normal"/>
    <w:rsid w:val="006340BB"/>
    <w:pPr>
      <w:pBdr>
        <w:bottom w:val="single" w:sz="4" w:space="0" w:color="EEECE1"/>
      </w:pBdr>
      <w:spacing w:before="100" w:beforeAutospacing="1" w:after="100" w:afterAutospacing="1"/>
      <w:jc w:val="center"/>
      <w:textAlignment w:val="center"/>
    </w:pPr>
    <w:rPr>
      <w:rFonts w:eastAsia="Times New Roman"/>
      <w:sz w:val="16"/>
      <w:szCs w:val="16"/>
      <w:lang w:eastAsia="en-GB"/>
    </w:rPr>
  </w:style>
  <w:style w:type="paragraph" w:customStyle="1" w:styleId="xl82">
    <w:name w:val="xl82"/>
    <w:basedOn w:val="Normal"/>
    <w:rsid w:val="006340BB"/>
    <w:pPr>
      <w:pBdr>
        <w:bottom w:val="single" w:sz="4" w:space="0" w:color="EEECE1"/>
        <w:right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3">
    <w:name w:val="xl83"/>
    <w:basedOn w:val="Normal"/>
    <w:rsid w:val="006340BB"/>
    <w:pPr>
      <w:pBdr>
        <w:bottom w:val="single" w:sz="4" w:space="0" w:color="EEECE1"/>
        <w:right w:val="double" w:sz="6" w:space="0" w:color="000000"/>
      </w:pBdr>
      <w:spacing w:before="100" w:beforeAutospacing="1" w:after="100" w:afterAutospacing="1"/>
      <w:jc w:val="center"/>
      <w:textAlignment w:val="center"/>
    </w:pPr>
    <w:rPr>
      <w:rFonts w:eastAsia="Times New Roman"/>
      <w:sz w:val="16"/>
      <w:szCs w:val="16"/>
      <w:lang w:eastAsia="en-GB"/>
    </w:rPr>
  </w:style>
  <w:style w:type="paragraph" w:customStyle="1" w:styleId="xl84">
    <w:name w:val="xl84"/>
    <w:basedOn w:val="Normal"/>
    <w:rsid w:val="006340BB"/>
    <w:pPr>
      <w:pBdr>
        <w:top w:val="double" w:sz="6" w:space="0" w:color="auto"/>
        <w:bottom w:val="double" w:sz="6" w:space="0" w:color="auto"/>
        <w:right w:val="single" w:sz="4"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5">
    <w:name w:val="xl85"/>
    <w:basedOn w:val="Normal"/>
    <w:rsid w:val="006340BB"/>
    <w:pPr>
      <w:pBdr>
        <w:top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6">
    <w:name w:val="xl86"/>
    <w:basedOn w:val="Normal"/>
    <w:rsid w:val="006340BB"/>
    <w:pPr>
      <w:pBdr>
        <w:top w:val="double" w:sz="6" w:space="0" w:color="auto"/>
        <w:left w:val="double" w:sz="6" w:space="0" w:color="auto"/>
        <w:bottom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7">
    <w:name w:val="xl87"/>
    <w:basedOn w:val="Normal"/>
    <w:rsid w:val="006340BB"/>
    <w:pPr>
      <w:pBdr>
        <w:top w:val="double" w:sz="6" w:space="0" w:color="auto"/>
        <w:bottom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8">
    <w:name w:val="xl88"/>
    <w:basedOn w:val="Normal"/>
    <w:rsid w:val="006340BB"/>
    <w:pPr>
      <w:pBdr>
        <w:top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 w:val="16"/>
      <w:szCs w:val="16"/>
      <w:lang w:eastAsia="en-GB"/>
    </w:rPr>
  </w:style>
  <w:style w:type="paragraph" w:customStyle="1" w:styleId="xl89">
    <w:name w:val="xl89"/>
    <w:basedOn w:val="Normal"/>
    <w:rsid w:val="006340BB"/>
    <w:pPr>
      <w:pBdr>
        <w:top w:val="double" w:sz="6" w:space="0" w:color="auto"/>
        <w:bottom w:val="double" w:sz="6" w:space="0" w:color="auto"/>
        <w:right w:val="double" w:sz="6" w:space="0" w:color="000000"/>
      </w:pBdr>
      <w:spacing w:before="100" w:beforeAutospacing="1" w:after="100" w:afterAutospacing="1"/>
      <w:jc w:val="center"/>
      <w:textAlignment w:val="center"/>
    </w:pPr>
    <w:rPr>
      <w:rFonts w:eastAsia="Times New Roman"/>
      <w:sz w:val="16"/>
      <w:szCs w:val="16"/>
      <w:lang w:eastAsia="en-GB"/>
    </w:rPr>
  </w:style>
  <w:style w:type="paragraph" w:customStyle="1" w:styleId="xl90">
    <w:name w:val="xl90"/>
    <w:basedOn w:val="Normal"/>
    <w:rsid w:val="006340BB"/>
    <w:pPr>
      <w:pBdr>
        <w:top w:val="double" w:sz="6" w:space="0" w:color="auto"/>
        <w:left w:val="single" w:sz="4" w:space="0" w:color="000000"/>
        <w:bottom w:val="double" w:sz="6" w:space="0" w:color="auto"/>
        <w:right w:val="single" w:sz="4" w:space="0" w:color="000000"/>
      </w:pBdr>
      <w:spacing w:before="100" w:beforeAutospacing="1" w:after="100" w:afterAutospacing="1"/>
      <w:jc w:val="center"/>
      <w:textAlignment w:val="center"/>
    </w:pPr>
    <w:rPr>
      <w:rFonts w:eastAsia="Times New Roman"/>
      <w:sz w:val="16"/>
      <w:szCs w:val="16"/>
      <w:lang w:eastAsia="en-GB"/>
    </w:rPr>
  </w:style>
  <w:style w:type="paragraph" w:customStyle="1" w:styleId="xl91">
    <w:name w:val="xl91"/>
    <w:basedOn w:val="Normal"/>
    <w:rsid w:val="006340BB"/>
    <w:pPr>
      <w:pBdr>
        <w:left w:val="single" w:sz="4" w:space="0" w:color="000000"/>
        <w:bottom w:val="single" w:sz="4" w:space="0" w:color="EEECE1"/>
        <w:right w:val="single" w:sz="4" w:space="0" w:color="000000"/>
      </w:pBdr>
      <w:spacing w:before="100" w:beforeAutospacing="1" w:after="100" w:afterAutospacing="1"/>
      <w:jc w:val="left"/>
      <w:textAlignment w:val="center"/>
    </w:pPr>
    <w:rPr>
      <w:rFonts w:eastAsia="Times New Roman"/>
      <w:sz w:val="16"/>
      <w:szCs w:val="16"/>
      <w:lang w:eastAsia="en-GB"/>
    </w:rPr>
  </w:style>
  <w:style w:type="paragraph" w:customStyle="1" w:styleId="xl92">
    <w:name w:val="xl92"/>
    <w:basedOn w:val="Normal"/>
    <w:rsid w:val="006340BB"/>
    <w:pPr>
      <w:pBdr>
        <w:top w:val="single" w:sz="4" w:space="0" w:color="EEECE1"/>
        <w:left w:val="single" w:sz="4" w:space="0" w:color="000000"/>
        <w:bottom w:val="single" w:sz="4" w:space="0" w:color="EEECE1"/>
        <w:right w:val="single" w:sz="4" w:space="0" w:color="000000"/>
      </w:pBdr>
      <w:spacing w:before="100" w:beforeAutospacing="1" w:after="100" w:afterAutospacing="1"/>
      <w:jc w:val="left"/>
      <w:textAlignment w:val="center"/>
    </w:pPr>
    <w:rPr>
      <w:rFonts w:eastAsia="Times New Roman"/>
      <w:sz w:val="16"/>
      <w:szCs w:val="16"/>
      <w:lang w:eastAsia="en-GB"/>
    </w:rPr>
  </w:style>
  <w:style w:type="paragraph" w:customStyle="1" w:styleId="xl93">
    <w:name w:val="xl93"/>
    <w:basedOn w:val="Normal"/>
    <w:rsid w:val="006340BB"/>
    <w:pPr>
      <w:pBdr>
        <w:left w:val="single" w:sz="4" w:space="0" w:color="000000"/>
        <w:right w:val="single" w:sz="4" w:space="0" w:color="000000"/>
      </w:pBdr>
      <w:spacing w:before="100" w:beforeAutospacing="1" w:after="100" w:afterAutospacing="1"/>
      <w:jc w:val="left"/>
    </w:pPr>
    <w:rPr>
      <w:rFonts w:eastAsia="Times New Roman"/>
      <w:sz w:val="16"/>
      <w:szCs w:val="16"/>
      <w:lang w:eastAsia="en-GB"/>
    </w:rPr>
  </w:style>
  <w:style w:type="paragraph" w:styleId="ListParagraph">
    <w:name w:val="List Paragraph"/>
    <w:basedOn w:val="Normal"/>
    <w:uiPriority w:val="34"/>
    <w:qFormat/>
    <w:rsid w:val="006340BB"/>
    <w:pPr>
      <w:ind w:left="720"/>
      <w:contextualSpacing/>
    </w:pPr>
  </w:style>
  <w:style w:type="paragraph" w:styleId="Caption">
    <w:name w:val="caption"/>
    <w:basedOn w:val="Normal"/>
    <w:next w:val="Normal"/>
    <w:uiPriority w:val="35"/>
    <w:unhideWhenUsed/>
    <w:qFormat/>
    <w:rsid w:val="006340BB"/>
    <w:pPr>
      <w:spacing w:before="0" w:after="200"/>
    </w:pPr>
    <w:rPr>
      <w:b/>
      <w:bCs/>
      <w:color w:val="4F81BD" w:themeColor="accent1"/>
      <w:sz w:val="18"/>
      <w:szCs w:val="18"/>
    </w:rPr>
  </w:style>
  <w:style w:type="paragraph" w:styleId="Revision">
    <w:name w:val="Revision"/>
    <w:hidden/>
    <w:uiPriority w:val="99"/>
    <w:semiHidden/>
    <w:rsid w:val="006340BB"/>
    <w:pPr>
      <w:spacing w:after="0" w:line="240" w:lineRule="auto"/>
    </w:pPr>
    <w:rPr>
      <w:rFonts w:ascii="Times New Roman" w:hAnsi="Times New Roman" w:cs="Times New Roman"/>
      <w:sz w:val="24"/>
      <w:lang w:val="en-GB"/>
    </w:rPr>
  </w:style>
  <w:style w:type="character" w:styleId="Emphasis">
    <w:name w:val="Emphasis"/>
    <w:basedOn w:val="DefaultParagraphFont"/>
    <w:uiPriority w:val="20"/>
    <w:qFormat/>
    <w:rsid w:val="006340BB"/>
    <w:rPr>
      <w:i/>
      <w:iCs/>
    </w:rPr>
  </w:style>
  <w:style w:type="paragraph" w:customStyle="1" w:styleId="xl94">
    <w:name w:val="xl94"/>
    <w:basedOn w:val="Normal"/>
    <w:rsid w:val="006340BB"/>
    <w:pPr>
      <w:pBdr>
        <w:bottom w:val="single" w:sz="4" w:space="0" w:color="EEECE1"/>
        <w:right w:val="double" w:sz="6" w:space="0" w:color="auto"/>
      </w:pBdr>
      <w:spacing w:before="100" w:beforeAutospacing="1" w:after="100" w:afterAutospacing="1"/>
      <w:jc w:val="left"/>
      <w:textAlignment w:val="center"/>
    </w:pPr>
    <w:rPr>
      <w:rFonts w:eastAsia="Times New Roman"/>
      <w:szCs w:val="24"/>
      <w:lang w:eastAsia="en-GB"/>
    </w:rPr>
  </w:style>
  <w:style w:type="paragraph" w:customStyle="1" w:styleId="xl95">
    <w:name w:val="xl95"/>
    <w:basedOn w:val="Normal"/>
    <w:rsid w:val="006340BB"/>
    <w:pPr>
      <w:pBdr>
        <w:left w:val="double" w:sz="6" w:space="0" w:color="auto"/>
        <w:bottom w:val="single" w:sz="4" w:space="0" w:color="EEECE1"/>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96">
    <w:name w:val="xl96"/>
    <w:basedOn w:val="Normal"/>
    <w:rsid w:val="006340BB"/>
    <w:pPr>
      <w:pBdr>
        <w:top w:val="double" w:sz="6" w:space="0" w:color="auto"/>
        <w:lef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97">
    <w:name w:val="xl97"/>
    <w:basedOn w:val="Normal"/>
    <w:rsid w:val="006340BB"/>
    <w:pPr>
      <w:pBdr>
        <w:top w:val="double" w:sz="6" w:space="0" w:color="auto"/>
        <w:left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98">
    <w:name w:val="xl98"/>
    <w:basedOn w:val="Normal"/>
    <w:rsid w:val="006340BB"/>
    <w:pPr>
      <w:pBdr>
        <w:top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99">
    <w:name w:val="xl99"/>
    <w:basedOn w:val="Normal"/>
    <w:rsid w:val="006340BB"/>
    <w:pPr>
      <w:pBdr>
        <w:top w:val="double" w:sz="6" w:space="0" w:color="auto"/>
        <w:left w:val="double" w:sz="6" w:space="0" w:color="auto"/>
        <w:bottom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0">
    <w:name w:val="xl100"/>
    <w:basedOn w:val="Normal"/>
    <w:rsid w:val="006340BB"/>
    <w:pPr>
      <w:pBdr>
        <w:top w:val="double" w:sz="6" w:space="0" w:color="auto"/>
        <w:bottom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1">
    <w:name w:val="xl101"/>
    <w:basedOn w:val="Normal"/>
    <w:rsid w:val="006340BB"/>
    <w:pPr>
      <w:pBdr>
        <w:top w:val="double" w:sz="6" w:space="0" w:color="auto"/>
        <w:left w:val="single" w:sz="4" w:space="0" w:color="auto"/>
        <w:bottom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2">
    <w:name w:val="xl102"/>
    <w:basedOn w:val="Normal"/>
    <w:rsid w:val="006340BB"/>
    <w:pPr>
      <w:pBdr>
        <w:top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3">
    <w:name w:val="xl103"/>
    <w:basedOn w:val="Normal"/>
    <w:rsid w:val="006340BB"/>
    <w:pPr>
      <w:pBdr>
        <w:left w:val="double" w:sz="6" w:space="0" w:color="auto"/>
        <w:bottom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4">
    <w:name w:val="xl104"/>
    <w:basedOn w:val="Normal"/>
    <w:rsid w:val="006340BB"/>
    <w:pPr>
      <w:pBdr>
        <w:left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5">
    <w:name w:val="xl105"/>
    <w:basedOn w:val="Normal"/>
    <w:rsid w:val="006340BB"/>
    <w:pPr>
      <w:pBdr>
        <w:bottom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6">
    <w:name w:val="xl106"/>
    <w:basedOn w:val="Normal"/>
    <w:rsid w:val="006340BB"/>
    <w:pPr>
      <w:pBdr>
        <w:top w:val="double" w:sz="6" w:space="0" w:color="auto"/>
        <w:left w:val="double" w:sz="6" w:space="0" w:color="auto"/>
        <w:bottom w:val="double" w:sz="6" w:space="0" w:color="auto"/>
        <w:right w:val="double" w:sz="6" w:space="0" w:color="auto"/>
      </w:pBdr>
      <w:spacing w:before="100" w:beforeAutospacing="1" w:after="100" w:afterAutospacing="1"/>
      <w:jc w:val="center"/>
      <w:textAlignment w:val="center"/>
    </w:pPr>
    <w:rPr>
      <w:rFonts w:eastAsia="Times New Roman"/>
      <w:szCs w:val="24"/>
      <w:lang w:eastAsia="en-GB"/>
    </w:rPr>
  </w:style>
  <w:style w:type="paragraph" w:customStyle="1" w:styleId="xl107">
    <w:name w:val="xl107"/>
    <w:basedOn w:val="Normal"/>
    <w:rsid w:val="006340BB"/>
    <w:pPr>
      <w:pBdr>
        <w:top w:val="single" w:sz="4" w:space="0" w:color="EEECE1"/>
        <w:left w:val="double" w:sz="6" w:space="0" w:color="auto"/>
        <w:bottom w:val="double" w:sz="6" w:space="0" w:color="auto"/>
        <w:right w:val="single" w:sz="4" w:space="0" w:color="auto"/>
      </w:pBdr>
      <w:spacing w:before="100" w:beforeAutospacing="1" w:after="100" w:afterAutospacing="1"/>
      <w:jc w:val="center"/>
      <w:textAlignment w:val="center"/>
    </w:pPr>
    <w:rPr>
      <w:rFonts w:eastAsia="Times New Roman"/>
      <w:szCs w:val="24"/>
      <w:lang w:eastAsia="en-GB"/>
    </w:rPr>
  </w:style>
  <w:style w:type="paragraph" w:customStyle="1" w:styleId="xl108">
    <w:name w:val="xl108"/>
    <w:basedOn w:val="Normal"/>
    <w:rsid w:val="006340BB"/>
    <w:pPr>
      <w:pBdr>
        <w:left w:val="double" w:sz="6" w:space="0" w:color="auto"/>
        <w:right w:val="single" w:sz="4" w:space="0" w:color="auto"/>
      </w:pBdr>
      <w:spacing w:before="100" w:beforeAutospacing="1" w:after="100" w:afterAutospacing="1"/>
      <w:jc w:val="left"/>
    </w:pPr>
    <w:rPr>
      <w:rFonts w:eastAsia="Times New Roman"/>
      <w:szCs w:val="24"/>
      <w:lang w:eastAsia="en-GB"/>
    </w:rPr>
  </w:style>
  <w:style w:type="paragraph" w:customStyle="1" w:styleId="xl109">
    <w:name w:val="xl109"/>
    <w:basedOn w:val="Normal"/>
    <w:rsid w:val="006340BB"/>
    <w:pPr>
      <w:pBdr>
        <w:top w:val="double" w:sz="6" w:space="0" w:color="auto"/>
        <w:left w:val="double" w:sz="6" w:space="0" w:color="auto"/>
        <w:bottom w:val="double" w:sz="6" w:space="0" w:color="auto"/>
        <w:right w:val="single" w:sz="4" w:space="0" w:color="auto"/>
      </w:pBdr>
      <w:spacing w:before="100" w:beforeAutospacing="1" w:after="100" w:afterAutospacing="1"/>
      <w:jc w:val="center"/>
      <w:textAlignment w:val="center"/>
    </w:pPr>
    <w:rPr>
      <w:rFonts w:eastAsia="Times New Roman"/>
      <w:szCs w:val="24"/>
      <w:lang w:eastAsia="en-GB"/>
    </w:rPr>
  </w:style>
  <w:style w:type="paragraph" w:customStyle="1" w:styleId="xl110">
    <w:name w:val="xl110"/>
    <w:basedOn w:val="Normal"/>
    <w:rsid w:val="006340BB"/>
    <w:pPr>
      <w:pBdr>
        <w:top w:val="double" w:sz="6" w:space="0" w:color="auto"/>
        <w:bottom w:val="double" w:sz="6" w:space="0" w:color="auto"/>
        <w:right w:val="single" w:sz="4" w:space="0" w:color="auto"/>
      </w:pBdr>
      <w:spacing w:before="100" w:beforeAutospacing="1" w:after="100" w:afterAutospacing="1"/>
      <w:jc w:val="center"/>
      <w:textAlignment w:val="center"/>
    </w:pPr>
    <w:rPr>
      <w:rFonts w:eastAsia="Times New Roman"/>
      <w:szCs w:val="24"/>
      <w:lang w:eastAsia="en-GB"/>
    </w:rPr>
  </w:style>
  <w:style w:type="paragraph" w:styleId="TableofFigures">
    <w:name w:val="table of figures"/>
    <w:basedOn w:val="Normal"/>
    <w:next w:val="Normal"/>
    <w:uiPriority w:val="99"/>
    <w:semiHidden/>
    <w:unhideWhenUsed/>
    <w:rsid w:val="006340BB"/>
    <w:pPr>
      <w:spacing w:after="0"/>
    </w:pPr>
  </w:style>
  <w:style w:type="paragraph" w:styleId="ListNumber2">
    <w:name w:val="List Number 2"/>
    <w:basedOn w:val="Normal"/>
    <w:uiPriority w:val="99"/>
    <w:semiHidden/>
    <w:unhideWhenUsed/>
    <w:rsid w:val="006340BB"/>
    <w:pPr>
      <w:numPr>
        <w:numId w:val="6"/>
      </w:numPr>
      <w:contextualSpacing/>
    </w:pPr>
  </w:style>
  <w:style w:type="paragraph" w:styleId="ListNumber3">
    <w:name w:val="List Number 3"/>
    <w:basedOn w:val="Normal"/>
    <w:uiPriority w:val="99"/>
    <w:semiHidden/>
    <w:unhideWhenUsed/>
    <w:rsid w:val="006340BB"/>
    <w:pPr>
      <w:numPr>
        <w:numId w:val="7"/>
      </w:numPr>
      <w:contextualSpacing/>
    </w:pPr>
  </w:style>
  <w:style w:type="paragraph" w:styleId="ListNumber4">
    <w:name w:val="List Number 4"/>
    <w:basedOn w:val="Normal"/>
    <w:uiPriority w:val="99"/>
    <w:semiHidden/>
    <w:unhideWhenUsed/>
    <w:rsid w:val="006340BB"/>
    <w:pPr>
      <w:numPr>
        <w:numId w:val="8"/>
      </w:numPr>
      <w:contextualSpacing/>
    </w:pPr>
  </w:style>
  <w:style w:type="paragraph" w:customStyle="1" w:styleId="msonormal0">
    <w:name w:val="msonormal"/>
    <w:basedOn w:val="Normal"/>
    <w:rsid w:val="0084496A"/>
    <w:pPr>
      <w:spacing w:before="100" w:beforeAutospacing="1" w:after="100" w:afterAutospacing="1"/>
      <w:jc w:val="left"/>
    </w:pPr>
    <w:rPr>
      <w:rFonts w:eastAsia="Times New Roman"/>
      <w:szCs w:val="24"/>
      <w:lang w:val="en-US"/>
    </w:rPr>
  </w:style>
  <w:style w:type="paragraph" w:styleId="Header">
    <w:name w:val="header"/>
    <w:basedOn w:val="Normal"/>
    <w:link w:val="HeaderChar"/>
    <w:uiPriority w:val="99"/>
    <w:unhideWhenUsed/>
    <w:rsid w:val="00471AF5"/>
    <w:pPr>
      <w:tabs>
        <w:tab w:val="center" w:pos="4535"/>
        <w:tab w:val="right" w:pos="9071"/>
      </w:tabs>
      <w:spacing w:before="0"/>
    </w:pPr>
  </w:style>
  <w:style w:type="character" w:customStyle="1" w:styleId="HeaderChar">
    <w:name w:val="Header Char"/>
    <w:basedOn w:val="DefaultParagraphFont"/>
    <w:link w:val="Header"/>
    <w:uiPriority w:val="99"/>
    <w:rsid w:val="00471AF5"/>
    <w:rPr>
      <w:rFonts w:ascii="Times New Roman" w:hAnsi="Times New Roman" w:cs="Times New Roman"/>
      <w:sz w:val="24"/>
      <w:shd w:val="clear" w:color="auto" w:fill="auto"/>
      <w:lang w:val="en-GB"/>
    </w:rPr>
  </w:style>
  <w:style w:type="paragraph" w:styleId="Footer">
    <w:name w:val="footer"/>
    <w:basedOn w:val="Normal"/>
    <w:link w:val="FooterChar"/>
    <w:uiPriority w:val="99"/>
    <w:unhideWhenUsed/>
    <w:rsid w:val="00471AF5"/>
    <w:pPr>
      <w:tabs>
        <w:tab w:val="center" w:pos="4535"/>
        <w:tab w:val="right" w:pos="9071"/>
        <w:tab w:val="right" w:pos="9921"/>
      </w:tabs>
      <w:spacing w:before="360" w:after="0"/>
      <w:ind w:left="-850" w:right="-850"/>
      <w:jc w:val="left"/>
    </w:pPr>
  </w:style>
  <w:style w:type="character" w:customStyle="1" w:styleId="FooterChar">
    <w:name w:val="Footer Char"/>
    <w:basedOn w:val="DefaultParagraphFont"/>
    <w:link w:val="Footer"/>
    <w:uiPriority w:val="99"/>
    <w:rsid w:val="00471AF5"/>
    <w:rPr>
      <w:rFonts w:ascii="Times New Roman" w:hAnsi="Times New Roman" w:cs="Times New Roman"/>
      <w:sz w:val="24"/>
      <w:shd w:val="clear" w:color="auto" w:fill="auto"/>
      <w:lang w:val="en-GB"/>
    </w:rPr>
  </w:style>
  <w:style w:type="paragraph" w:styleId="FootnoteText">
    <w:name w:val="footnote text"/>
    <w:basedOn w:val="Normal"/>
    <w:link w:val="FootnoteTextChar"/>
    <w:uiPriority w:val="99"/>
    <w:semiHidden/>
    <w:unhideWhenUsed/>
    <w:rsid w:val="00471AF5"/>
    <w:pPr>
      <w:spacing w:before="0" w:after="0"/>
      <w:ind w:left="720" w:hanging="720"/>
    </w:pPr>
    <w:rPr>
      <w:sz w:val="20"/>
      <w:szCs w:val="20"/>
    </w:rPr>
  </w:style>
  <w:style w:type="character" w:customStyle="1" w:styleId="FootnoteTextChar">
    <w:name w:val="Footnote Text Char"/>
    <w:basedOn w:val="DefaultParagraphFont"/>
    <w:link w:val="FootnoteText"/>
    <w:uiPriority w:val="99"/>
    <w:semiHidden/>
    <w:rsid w:val="00471AF5"/>
    <w:rPr>
      <w:rFonts w:ascii="Times New Roman" w:hAnsi="Times New Roman" w:cs="Times New Roman"/>
      <w:sz w:val="20"/>
      <w:szCs w:val="20"/>
      <w:shd w:val="clear" w:color="auto" w:fill="auto"/>
      <w:lang w:val="en-GB"/>
    </w:rPr>
  </w:style>
  <w:style w:type="character" w:customStyle="1" w:styleId="Heading1Char">
    <w:name w:val="Heading 1 Char"/>
    <w:basedOn w:val="DefaultParagraphFont"/>
    <w:link w:val="Heading1"/>
    <w:uiPriority w:val="9"/>
    <w:rsid w:val="00471AF5"/>
    <w:rPr>
      <w:rFonts w:ascii="Times New Roman" w:eastAsiaTheme="majorEastAsia" w:hAnsi="Times New Roman" w:cs="Times New Roman"/>
      <w:b/>
      <w:bCs/>
      <w:smallCaps/>
      <w:sz w:val="24"/>
      <w:szCs w:val="28"/>
      <w:lang w:val="en-GB"/>
    </w:rPr>
  </w:style>
  <w:style w:type="character" w:customStyle="1" w:styleId="Heading2Char">
    <w:name w:val="Heading 2 Char"/>
    <w:basedOn w:val="DefaultParagraphFont"/>
    <w:link w:val="Heading2"/>
    <w:uiPriority w:val="9"/>
    <w:semiHidden/>
    <w:rsid w:val="00471AF5"/>
    <w:rPr>
      <w:rFonts w:ascii="Times New Roman" w:eastAsiaTheme="majorEastAsia" w:hAnsi="Times New Roman" w:cs="Times New Roman"/>
      <w:b/>
      <w:bCs/>
      <w:sz w:val="24"/>
      <w:szCs w:val="26"/>
      <w:lang w:val="en-GB"/>
    </w:rPr>
  </w:style>
  <w:style w:type="character" w:customStyle="1" w:styleId="Heading3Char">
    <w:name w:val="Heading 3 Char"/>
    <w:basedOn w:val="DefaultParagraphFont"/>
    <w:link w:val="Heading3"/>
    <w:uiPriority w:val="9"/>
    <w:semiHidden/>
    <w:rsid w:val="00471AF5"/>
    <w:rPr>
      <w:rFonts w:ascii="Times New Roman" w:eastAsiaTheme="majorEastAsia" w:hAnsi="Times New Roman" w:cs="Times New Roman"/>
      <w:bCs/>
      <w:i/>
      <w:sz w:val="24"/>
      <w:lang w:val="en-GB"/>
    </w:rPr>
  </w:style>
  <w:style w:type="character" w:customStyle="1" w:styleId="Heading4Char">
    <w:name w:val="Heading 4 Char"/>
    <w:basedOn w:val="DefaultParagraphFont"/>
    <w:link w:val="Heading4"/>
    <w:uiPriority w:val="9"/>
    <w:semiHidden/>
    <w:rsid w:val="00471AF5"/>
    <w:rPr>
      <w:rFonts w:ascii="Times New Roman" w:eastAsiaTheme="majorEastAsia" w:hAnsi="Times New Roman" w:cs="Times New Roman"/>
      <w:bCs/>
      <w:iCs/>
      <w:sz w:val="24"/>
      <w:lang w:val="en-GB"/>
    </w:rPr>
  </w:style>
  <w:style w:type="paragraph" w:styleId="TOCHeading">
    <w:name w:val="TOC Heading"/>
    <w:basedOn w:val="Normal"/>
    <w:next w:val="Normal"/>
    <w:uiPriority w:val="39"/>
    <w:semiHidden/>
    <w:unhideWhenUsed/>
    <w:qFormat/>
    <w:rsid w:val="00471AF5"/>
    <w:pPr>
      <w:spacing w:after="240"/>
      <w:jc w:val="center"/>
    </w:pPr>
    <w:rPr>
      <w:b/>
      <w:sz w:val="28"/>
    </w:rPr>
  </w:style>
  <w:style w:type="paragraph" w:styleId="TOC1">
    <w:name w:val="toc 1"/>
    <w:basedOn w:val="Normal"/>
    <w:next w:val="Normal"/>
    <w:uiPriority w:val="39"/>
    <w:semiHidden/>
    <w:unhideWhenUsed/>
    <w:rsid w:val="00471AF5"/>
    <w:pPr>
      <w:tabs>
        <w:tab w:val="right" w:leader="dot" w:pos="9071"/>
      </w:tabs>
      <w:spacing w:before="60"/>
      <w:ind w:left="850" w:hanging="850"/>
      <w:jc w:val="left"/>
    </w:pPr>
  </w:style>
  <w:style w:type="paragraph" w:styleId="TOC2">
    <w:name w:val="toc 2"/>
    <w:basedOn w:val="Normal"/>
    <w:next w:val="Normal"/>
    <w:uiPriority w:val="39"/>
    <w:semiHidden/>
    <w:unhideWhenUsed/>
    <w:rsid w:val="00471AF5"/>
    <w:pPr>
      <w:tabs>
        <w:tab w:val="right" w:leader="dot" w:pos="9071"/>
      </w:tabs>
      <w:spacing w:before="60"/>
      <w:ind w:left="850" w:hanging="850"/>
      <w:jc w:val="left"/>
    </w:pPr>
  </w:style>
  <w:style w:type="paragraph" w:styleId="TOC3">
    <w:name w:val="toc 3"/>
    <w:basedOn w:val="Normal"/>
    <w:next w:val="Normal"/>
    <w:uiPriority w:val="39"/>
    <w:semiHidden/>
    <w:unhideWhenUsed/>
    <w:rsid w:val="00471AF5"/>
    <w:pPr>
      <w:tabs>
        <w:tab w:val="right" w:leader="dot" w:pos="9071"/>
      </w:tabs>
      <w:spacing w:before="60"/>
      <w:ind w:left="850" w:hanging="850"/>
      <w:jc w:val="left"/>
    </w:pPr>
  </w:style>
  <w:style w:type="paragraph" w:styleId="TOC4">
    <w:name w:val="toc 4"/>
    <w:basedOn w:val="Normal"/>
    <w:next w:val="Normal"/>
    <w:uiPriority w:val="39"/>
    <w:semiHidden/>
    <w:unhideWhenUsed/>
    <w:rsid w:val="00471AF5"/>
    <w:pPr>
      <w:tabs>
        <w:tab w:val="right" w:leader="dot" w:pos="9071"/>
      </w:tabs>
      <w:spacing w:before="60"/>
      <w:ind w:left="850" w:hanging="850"/>
      <w:jc w:val="left"/>
    </w:pPr>
  </w:style>
  <w:style w:type="paragraph" w:styleId="TOC5">
    <w:name w:val="toc 5"/>
    <w:basedOn w:val="Normal"/>
    <w:next w:val="Normal"/>
    <w:uiPriority w:val="39"/>
    <w:semiHidden/>
    <w:unhideWhenUsed/>
    <w:rsid w:val="00471AF5"/>
    <w:pPr>
      <w:tabs>
        <w:tab w:val="right" w:leader="dot" w:pos="9071"/>
      </w:tabs>
      <w:spacing w:before="300"/>
      <w:jc w:val="left"/>
    </w:pPr>
  </w:style>
  <w:style w:type="paragraph" w:styleId="TOC6">
    <w:name w:val="toc 6"/>
    <w:basedOn w:val="Normal"/>
    <w:next w:val="Normal"/>
    <w:uiPriority w:val="39"/>
    <w:semiHidden/>
    <w:unhideWhenUsed/>
    <w:rsid w:val="00471AF5"/>
    <w:pPr>
      <w:tabs>
        <w:tab w:val="right" w:leader="dot" w:pos="9071"/>
      </w:tabs>
      <w:spacing w:before="240"/>
      <w:jc w:val="left"/>
    </w:pPr>
  </w:style>
  <w:style w:type="paragraph" w:styleId="TOC7">
    <w:name w:val="toc 7"/>
    <w:basedOn w:val="Normal"/>
    <w:next w:val="Normal"/>
    <w:uiPriority w:val="39"/>
    <w:semiHidden/>
    <w:unhideWhenUsed/>
    <w:rsid w:val="00471AF5"/>
    <w:pPr>
      <w:tabs>
        <w:tab w:val="right" w:leader="dot" w:pos="9071"/>
      </w:tabs>
      <w:spacing w:before="180"/>
      <w:jc w:val="left"/>
    </w:pPr>
  </w:style>
  <w:style w:type="paragraph" w:styleId="TOC8">
    <w:name w:val="toc 8"/>
    <w:basedOn w:val="Normal"/>
    <w:next w:val="Normal"/>
    <w:uiPriority w:val="39"/>
    <w:semiHidden/>
    <w:unhideWhenUsed/>
    <w:rsid w:val="00471AF5"/>
    <w:pPr>
      <w:tabs>
        <w:tab w:val="right" w:leader="dot" w:pos="9071"/>
      </w:tabs>
      <w:jc w:val="left"/>
    </w:pPr>
  </w:style>
  <w:style w:type="paragraph" w:styleId="TOC9">
    <w:name w:val="toc 9"/>
    <w:basedOn w:val="Normal"/>
    <w:next w:val="Normal"/>
    <w:uiPriority w:val="39"/>
    <w:semiHidden/>
    <w:unhideWhenUsed/>
    <w:rsid w:val="00471AF5"/>
    <w:pPr>
      <w:tabs>
        <w:tab w:val="right" w:leader="dot" w:pos="9071"/>
      </w:tabs>
    </w:pPr>
  </w:style>
  <w:style w:type="paragraph" w:customStyle="1" w:styleId="HeaderLandscape">
    <w:name w:val="HeaderLandscape"/>
    <w:basedOn w:val="Normal"/>
    <w:rsid w:val="00471AF5"/>
    <w:pPr>
      <w:tabs>
        <w:tab w:val="center" w:pos="7285"/>
        <w:tab w:val="right" w:pos="14003"/>
      </w:tabs>
      <w:spacing w:before="0"/>
    </w:pPr>
  </w:style>
  <w:style w:type="paragraph" w:customStyle="1" w:styleId="FooterLandscape">
    <w:name w:val="FooterLandscape"/>
    <w:basedOn w:val="Normal"/>
    <w:rsid w:val="00471AF5"/>
    <w:pPr>
      <w:tabs>
        <w:tab w:val="center" w:pos="7285"/>
        <w:tab w:val="center" w:pos="10913"/>
        <w:tab w:val="right" w:pos="15137"/>
      </w:tabs>
      <w:spacing w:before="360" w:after="0"/>
      <w:ind w:left="-567" w:right="-567"/>
      <w:jc w:val="left"/>
    </w:pPr>
  </w:style>
  <w:style w:type="character" w:styleId="FootnoteReference">
    <w:name w:val="footnote reference"/>
    <w:basedOn w:val="DefaultParagraphFont"/>
    <w:uiPriority w:val="99"/>
    <w:semiHidden/>
    <w:unhideWhenUsed/>
    <w:rsid w:val="00471AF5"/>
    <w:rPr>
      <w:shd w:val="clear" w:color="auto" w:fill="auto"/>
      <w:vertAlign w:val="superscript"/>
    </w:rPr>
  </w:style>
  <w:style w:type="paragraph" w:customStyle="1" w:styleId="HeaderSensitivity">
    <w:name w:val="Header Sensitivity"/>
    <w:basedOn w:val="Normal"/>
    <w:rsid w:val="00471AF5"/>
    <w:pPr>
      <w:pBdr>
        <w:top w:val="single" w:sz="4" w:space="1" w:color="auto"/>
        <w:left w:val="single" w:sz="4" w:space="4" w:color="auto"/>
        <w:bottom w:val="single" w:sz="4" w:space="1" w:color="auto"/>
        <w:right w:val="single" w:sz="4" w:space="4" w:color="auto"/>
      </w:pBdr>
      <w:spacing w:before="0"/>
      <w:ind w:left="113" w:right="113"/>
      <w:jc w:val="center"/>
    </w:pPr>
    <w:rPr>
      <w:b/>
      <w:sz w:val="32"/>
    </w:rPr>
  </w:style>
  <w:style w:type="paragraph" w:customStyle="1" w:styleId="FooterSensitivity">
    <w:name w:val="Footer Sensitivity"/>
    <w:basedOn w:val="Normal"/>
    <w:rsid w:val="00471AF5"/>
    <w:pPr>
      <w:pBdr>
        <w:top w:val="single" w:sz="4" w:space="1" w:color="auto"/>
        <w:left w:val="single" w:sz="4" w:space="4" w:color="auto"/>
        <w:bottom w:val="single" w:sz="4" w:space="1" w:color="auto"/>
        <w:right w:val="single" w:sz="4" w:space="4" w:color="auto"/>
      </w:pBdr>
      <w:spacing w:before="360" w:after="0"/>
      <w:ind w:left="113" w:right="113"/>
      <w:jc w:val="center"/>
    </w:pPr>
    <w:rPr>
      <w:b/>
      <w:sz w:val="32"/>
    </w:rPr>
  </w:style>
  <w:style w:type="paragraph" w:customStyle="1" w:styleId="Text1">
    <w:name w:val="Text 1"/>
    <w:basedOn w:val="Normal"/>
    <w:rsid w:val="00471AF5"/>
    <w:pPr>
      <w:ind w:left="850"/>
    </w:pPr>
  </w:style>
  <w:style w:type="paragraph" w:customStyle="1" w:styleId="Text2">
    <w:name w:val="Text 2"/>
    <w:basedOn w:val="Normal"/>
    <w:rsid w:val="00471AF5"/>
    <w:pPr>
      <w:ind w:left="1417"/>
    </w:pPr>
  </w:style>
  <w:style w:type="paragraph" w:customStyle="1" w:styleId="Text3">
    <w:name w:val="Text 3"/>
    <w:basedOn w:val="Normal"/>
    <w:rsid w:val="00471AF5"/>
    <w:pPr>
      <w:ind w:left="1984"/>
    </w:pPr>
  </w:style>
  <w:style w:type="paragraph" w:customStyle="1" w:styleId="Text4">
    <w:name w:val="Text 4"/>
    <w:basedOn w:val="Normal"/>
    <w:rsid w:val="00471AF5"/>
    <w:pPr>
      <w:ind w:left="2551"/>
    </w:pPr>
  </w:style>
  <w:style w:type="paragraph" w:customStyle="1" w:styleId="NormalCentered">
    <w:name w:val="Normal Centered"/>
    <w:basedOn w:val="Normal"/>
    <w:rsid w:val="00471AF5"/>
    <w:pPr>
      <w:jc w:val="center"/>
    </w:pPr>
  </w:style>
  <w:style w:type="paragraph" w:customStyle="1" w:styleId="NormalLeft">
    <w:name w:val="Normal Left"/>
    <w:basedOn w:val="Normal"/>
    <w:rsid w:val="00471AF5"/>
    <w:pPr>
      <w:jc w:val="left"/>
    </w:pPr>
  </w:style>
  <w:style w:type="paragraph" w:customStyle="1" w:styleId="NormalRight">
    <w:name w:val="Normal Right"/>
    <w:basedOn w:val="Normal"/>
    <w:rsid w:val="00471AF5"/>
    <w:pPr>
      <w:jc w:val="right"/>
    </w:pPr>
  </w:style>
  <w:style w:type="paragraph" w:customStyle="1" w:styleId="QuotedText">
    <w:name w:val="Quoted Text"/>
    <w:basedOn w:val="Normal"/>
    <w:rsid w:val="00471AF5"/>
    <w:pPr>
      <w:ind w:left="1417"/>
    </w:pPr>
  </w:style>
  <w:style w:type="paragraph" w:customStyle="1" w:styleId="Point0">
    <w:name w:val="Point 0"/>
    <w:basedOn w:val="Normal"/>
    <w:rsid w:val="00471AF5"/>
    <w:pPr>
      <w:ind w:left="850" w:hanging="850"/>
    </w:pPr>
  </w:style>
  <w:style w:type="paragraph" w:customStyle="1" w:styleId="Point1">
    <w:name w:val="Point 1"/>
    <w:basedOn w:val="Normal"/>
    <w:rsid w:val="00471AF5"/>
    <w:pPr>
      <w:ind w:left="1417" w:hanging="567"/>
    </w:pPr>
  </w:style>
  <w:style w:type="paragraph" w:customStyle="1" w:styleId="Point2">
    <w:name w:val="Point 2"/>
    <w:basedOn w:val="Normal"/>
    <w:rsid w:val="00471AF5"/>
    <w:pPr>
      <w:ind w:left="1984" w:hanging="567"/>
    </w:pPr>
  </w:style>
  <w:style w:type="paragraph" w:customStyle="1" w:styleId="Point3">
    <w:name w:val="Point 3"/>
    <w:basedOn w:val="Normal"/>
    <w:rsid w:val="00471AF5"/>
    <w:pPr>
      <w:ind w:left="2551" w:hanging="567"/>
    </w:pPr>
  </w:style>
  <w:style w:type="paragraph" w:customStyle="1" w:styleId="Point4">
    <w:name w:val="Point 4"/>
    <w:basedOn w:val="Normal"/>
    <w:rsid w:val="00471AF5"/>
    <w:pPr>
      <w:ind w:left="3118" w:hanging="567"/>
    </w:pPr>
  </w:style>
  <w:style w:type="paragraph" w:customStyle="1" w:styleId="Tiret0">
    <w:name w:val="Tiret 0"/>
    <w:basedOn w:val="Point0"/>
    <w:rsid w:val="00471AF5"/>
    <w:pPr>
      <w:numPr>
        <w:numId w:val="12"/>
      </w:numPr>
    </w:pPr>
  </w:style>
  <w:style w:type="paragraph" w:customStyle="1" w:styleId="Tiret1">
    <w:name w:val="Tiret 1"/>
    <w:basedOn w:val="Point1"/>
    <w:rsid w:val="00471AF5"/>
    <w:pPr>
      <w:numPr>
        <w:numId w:val="13"/>
      </w:numPr>
    </w:pPr>
  </w:style>
  <w:style w:type="paragraph" w:customStyle="1" w:styleId="Tiret2">
    <w:name w:val="Tiret 2"/>
    <w:basedOn w:val="Point2"/>
    <w:rsid w:val="00471AF5"/>
    <w:pPr>
      <w:numPr>
        <w:numId w:val="14"/>
      </w:numPr>
    </w:pPr>
  </w:style>
  <w:style w:type="paragraph" w:customStyle="1" w:styleId="Tiret3">
    <w:name w:val="Tiret 3"/>
    <w:basedOn w:val="Point3"/>
    <w:rsid w:val="00471AF5"/>
    <w:pPr>
      <w:numPr>
        <w:numId w:val="15"/>
      </w:numPr>
    </w:pPr>
  </w:style>
  <w:style w:type="paragraph" w:customStyle="1" w:styleId="Tiret4">
    <w:name w:val="Tiret 4"/>
    <w:basedOn w:val="Point4"/>
    <w:rsid w:val="00471AF5"/>
    <w:pPr>
      <w:numPr>
        <w:numId w:val="16"/>
      </w:numPr>
    </w:pPr>
  </w:style>
  <w:style w:type="paragraph" w:customStyle="1" w:styleId="PointDouble0">
    <w:name w:val="PointDouble 0"/>
    <w:basedOn w:val="Normal"/>
    <w:rsid w:val="00471AF5"/>
    <w:pPr>
      <w:tabs>
        <w:tab w:val="left" w:pos="850"/>
      </w:tabs>
      <w:ind w:left="1417" w:hanging="1417"/>
    </w:pPr>
  </w:style>
  <w:style w:type="paragraph" w:customStyle="1" w:styleId="PointDouble1">
    <w:name w:val="PointDouble 1"/>
    <w:basedOn w:val="Normal"/>
    <w:rsid w:val="00471AF5"/>
    <w:pPr>
      <w:tabs>
        <w:tab w:val="left" w:pos="1417"/>
      </w:tabs>
      <w:ind w:left="1984" w:hanging="1134"/>
    </w:pPr>
  </w:style>
  <w:style w:type="paragraph" w:customStyle="1" w:styleId="PointDouble2">
    <w:name w:val="PointDouble 2"/>
    <w:basedOn w:val="Normal"/>
    <w:rsid w:val="00471AF5"/>
    <w:pPr>
      <w:tabs>
        <w:tab w:val="left" w:pos="1984"/>
      </w:tabs>
      <w:ind w:left="2551" w:hanging="1134"/>
    </w:pPr>
  </w:style>
  <w:style w:type="paragraph" w:customStyle="1" w:styleId="PointDouble3">
    <w:name w:val="PointDouble 3"/>
    <w:basedOn w:val="Normal"/>
    <w:rsid w:val="00471AF5"/>
    <w:pPr>
      <w:tabs>
        <w:tab w:val="left" w:pos="2551"/>
      </w:tabs>
      <w:ind w:left="3118" w:hanging="1134"/>
    </w:pPr>
  </w:style>
  <w:style w:type="paragraph" w:customStyle="1" w:styleId="PointDouble4">
    <w:name w:val="PointDouble 4"/>
    <w:basedOn w:val="Normal"/>
    <w:rsid w:val="00471AF5"/>
    <w:pPr>
      <w:tabs>
        <w:tab w:val="left" w:pos="3118"/>
      </w:tabs>
      <w:ind w:left="3685" w:hanging="1134"/>
    </w:pPr>
  </w:style>
  <w:style w:type="paragraph" w:customStyle="1" w:styleId="PointTriple0">
    <w:name w:val="PointTriple 0"/>
    <w:basedOn w:val="Normal"/>
    <w:rsid w:val="00471AF5"/>
    <w:pPr>
      <w:tabs>
        <w:tab w:val="left" w:pos="850"/>
        <w:tab w:val="left" w:pos="1417"/>
      </w:tabs>
      <w:ind w:left="1984" w:hanging="1984"/>
    </w:pPr>
  </w:style>
  <w:style w:type="paragraph" w:customStyle="1" w:styleId="PointTriple1">
    <w:name w:val="PointTriple 1"/>
    <w:basedOn w:val="Normal"/>
    <w:rsid w:val="00471AF5"/>
    <w:pPr>
      <w:tabs>
        <w:tab w:val="left" w:pos="1417"/>
        <w:tab w:val="left" w:pos="1984"/>
      </w:tabs>
      <w:ind w:left="2551" w:hanging="1701"/>
    </w:pPr>
  </w:style>
  <w:style w:type="paragraph" w:customStyle="1" w:styleId="PointTriple2">
    <w:name w:val="PointTriple 2"/>
    <w:basedOn w:val="Normal"/>
    <w:rsid w:val="00471AF5"/>
    <w:pPr>
      <w:tabs>
        <w:tab w:val="left" w:pos="1984"/>
        <w:tab w:val="left" w:pos="2551"/>
      </w:tabs>
      <w:ind w:left="3118" w:hanging="1701"/>
    </w:pPr>
  </w:style>
  <w:style w:type="paragraph" w:customStyle="1" w:styleId="PointTriple3">
    <w:name w:val="PointTriple 3"/>
    <w:basedOn w:val="Normal"/>
    <w:rsid w:val="00471AF5"/>
    <w:pPr>
      <w:tabs>
        <w:tab w:val="left" w:pos="2551"/>
        <w:tab w:val="left" w:pos="3118"/>
      </w:tabs>
      <w:ind w:left="3685" w:hanging="1701"/>
    </w:pPr>
  </w:style>
  <w:style w:type="paragraph" w:customStyle="1" w:styleId="PointTriple4">
    <w:name w:val="PointTriple 4"/>
    <w:basedOn w:val="Normal"/>
    <w:rsid w:val="00471AF5"/>
    <w:pPr>
      <w:tabs>
        <w:tab w:val="left" w:pos="3118"/>
        <w:tab w:val="left" w:pos="3685"/>
      </w:tabs>
      <w:ind w:left="4252" w:hanging="1701"/>
    </w:pPr>
  </w:style>
  <w:style w:type="paragraph" w:customStyle="1" w:styleId="NumPar1">
    <w:name w:val="NumPar 1"/>
    <w:basedOn w:val="Normal"/>
    <w:next w:val="Text1"/>
    <w:rsid w:val="00471AF5"/>
    <w:pPr>
      <w:numPr>
        <w:numId w:val="17"/>
      </w:numPr>
    </w:pPr>
  </w:style>
  <w:style w:type="paragraph" w:customStyle="1" w:styleId="NumPar2">
    <w:name w:val="NumPar 2"/>
    <w:basedOn w:val="Normal"/>
    <w:next w:val="Text1"/>
    <w:rsid w:val="00471AF5"/>
    <w:pPr>
      <w:numPr>
        <w:ilvl w:val="1"/>
        <w:numId w:val="17"/>
      </w:numPr>
    </w:pPr>
  </w:style>
  <w:style w:type="paragraph" w:customStyle="1" w:styleId="NumPar3">
    <w:name w:val="NumPar 3"/>
    <w:basedOn w:val="Normal"/>
    <w:next w:val="Text1"/>
    <w:rsid w:val="00471AF5"/>
    <w:pPr>
      <w:numPr>
        <w:ilvl w:val="2"/>
        <w:numId w:val="17"/>
      </w:numPr>
    </w:pPr>
  </w:style>
  <w:style w:type="paragraph" w:customStyle="1" w:styleId="NumPar4">
    <w:name w:val="NumPar 4"/>
    <w:basedOn w:val="Normal"/>
    <w:next w:val="Text1"/>
    <w:rsid w:val="00471AF5"/>
    <w:pPr>
      <w:numPr>
        <w:ilvl w:val="3"/>
        <w:numId w:val="17"/>
      </w:numPr>
    </w:pPr>
  </w:style>
  <w:style w:type="paragraph" w:customStyle="1" w:styleId="ManualNumPar1">
    <w:name w:val="Manual NumPar 1"/>
    <w:basedOn w:val="Normal"/>
    <w:next w:val="Text1"/>
    <w:rsid w:val="00471AF5"/>
    <w:pPr>
      <w:ind w:left="850" w:hanging="850"/>
    </w:pPr>
  </w:style>
  <w:style w:type="paragraph" w:customStyle="1" w:styleId="ManualNumPar2">
    <w:name w:val="Manual NumPar 2"/>
    <w:basedOn w:val="Normal"/>
    <w:next w:val="Text1"/>
    <w:rsid w:val="00471AF5"/>
    <w:pPr>
      <w:ind w:left="850" w:hanging="850"/>
    </w:pPr>
  </w:style>
  <w:style w:type="paragraph" w:customStyle="1" w:styleId="ManualNumPar3">
    <w:name w:val="Manual NumPar 3"/>
    <w:basedOn w:val="Normal"/>
    <w:next w:val="Text1"/>
    <w:rsid w:val="00471AF5"/>
    <w:pPr>
      <w:ind w:left="850" w:hanging="850"/>
    </w:pPr>
  </w:style>
  <w:style w:type="paragraph" w:customStyle="1" w:styleId="ManualNumPar4">
    <w:name w:val="Manual NumPar 4"/>
    <w:basedOn w:val="Normal"/>
    <w:next w:val="Text1"/>
    <w:rsid w:val="00471AF5"/>
    <w:pPr>
      <w:ind w:left="850" w:hanging="850"/>
    </w:pPr>
  </w:style>
  <w:style w:type="paragraph" w:customStyle="1" w:styleId="QuotedNumPar">
    <w:name w:val="Quoted NumPar"/>
    <w:basedOn w:val="Normal"/>
    <w:rsid w:val="00471AF5"/>
    <w:pPr>
      <w:ind w:left="1417" w:hanging="567"/>
    </w:pPr>
  </w:style>
  <w:style w:type="paragraph" w:customStyle="1" w:styleId="ManualHeading1">
    <w:name w:val="Manual Heading 1"/>
    <w:basedOn w:val="Normal"/>
    <w:next w:val="Text1"/>
    <w:rsid w:val="00471AF5"/>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471AF5"/>
    <w:pPr>
      <w:keepNext/>
      <w:tabs>
        <w:tab w:val="left" w:pos="850"/>
      </w:tabs>
      <w:ind w:left="850" w:hanging="850"/>
      <w:outlineLvl w:val="1"/>
    </w:pPr>
    <w:rPr>
      <w:b/>
    </w:rPr>
  </w:style>
  <w:style w:type="paragraph" w:customStyle="1" w:styleId="ManualHeading3">
    <w:name w:val="Manual Heading 3"/>
    <w:basedOn w:val="Normal"/>
    <w:next w:val="Text1"/>
    <w:rsid w:val="00471AF5"/>
    <w:pPr>
      <w:keepNext/>
      <w:tabs>
        <w:tab w:val="left" w:pos="850"/>
      </w:tabs>
      <w:ind w:left="850" w:hanging="850"/>
      <w:outlineLvl w:val="2"/>
    </w:pPr>
    <w:rPr>
      <w:i/>
    </w:rPr>
  </w:style>
  <w:style w:type="paragraph" w:customStyle="1" w:styleId="ManualHeading4">
    <w:name w:val="Manual Heading 4"/>
    <w:basedOn w:val="Normal"/>
    <w:next w:val="Text1"/>
    <w:rsid w:val="00471AF5"/>
    <w:pPr>
      <w:keepNext/>
      <w:tabs>
        <w:tab w:val="left" w:pos="850"/>
      </w:tabs>
      <w:ind w:left="850" w:hanging="850"/>
      <w:outlineLvl w:val="3"/>
    </w:pPr>
  </w:style>
  <w:style w:type="paragraph" w:customStyle="1" w:styleId="ChapterTitle">
    <w:name w:val="ChapterTitle"/>
    <w:basedOn w:val="Normal"/>
    <w:next w:val="Normal"/>
    <w:rsid w:val="00471AF5"/>
    <w:pPr>
      <w:keepNext/>
      <w:spacing w:after="360"/>
      <w:jc w:val="center"/>
    </w:pPr>
    <w:rPr>
      <w:b/>
      <w:sz w:val="32"/>
    </w:rPr>
  </w:style>
  <w:style w:type="paragraph" w:customStyle="1" w:styleId="PartTitle">
    <w:name w:val="PartTitle"/>
    <w:basedOn w:val="Normal"/>
    <w:next w:val="ChapterTitle"/>
    <w:rsid w:val="00471AF5"/>
    <w:pPr>
      <w:keepNext/>
      <w:pageBreakBefore/>
      <w:spacing w:after="360"/>
      <w:jc w:val="center"/>
    </w:pPr>
    <w:rPr>
      <w:b/>
      <w:sz w:val="36"/>
    </w:rPr>
  </w:style>
  <w:style w:type="paragraph" w:customStyle="1" w:styleId="SectionTitle">
    <w:name w:val="SectionTitle"/>
    <w:basedOn w:val="Normal"/>
    <w:next w:val="Heading1"/>
    <w:rsid w:val="00471AF5"/>
    <w:pPr>
      <w:keepNext/>
      <w:spacing w:after="360"/>
      <w:jc w:val="center"/>
    </w:pPr>
    <w:rPr>
      <w:b/>
      <w:smallCaps/>
      <w:sz w:val="28"/>
    </w:rPr>
  </w:style>
  <w:style w:type="paragraph" w:customStyle="1" w:styleId="TableTitle">
    <w:name w:val="Table Title"/>
    <w:basedOn w:val="Normal"/>
    <w:next w:val="Normal"/>
    <w:rsid w:val="00471AF5"/>
    <w:pPr>
      <w:jc w:val="center"/>
    </w:pPr>
    <w:rPr>
      <w:b/>
    </w:rPr>
  </w:style>
  <w:style w:type="character" w:customStyle="1" w:styleId="Marker">
    <w:name w:val="Marker"/>
    <w:basedOn w:val="DefaultParagraphFont"/>
    <w:rsid w:val="00471AF5"/>
    <w:rPr>
      <w:color w:val="0000FF"/>
      <w:shd w:val="clear" w:color="auto" w:fill="auto"/>
    </w:rPr>
  </w:style>
  <w:style w:type="character" w:customStyle="1" w:styleId="Marker1">
    <w:name w:val="Marker1"/>
    <w:basedOn w:val="DefaultParagraphFont"/>
    <w:rsid w:val="00471AF5"/>
    <w:rPr>
      <w:color w:val="008000"/>
      <w:shd w:val="clear" w:color="auto" w:fill="auto"/>
    </w:rPr>
  </w:style>
  <w:style w:type="character" w:customStyle="1" w:styleId="Marker2">
    <w:name w:val="Marker2"/>
    <w:basedOn w:val="DefaultParagraphFont"/>
    <w:rsid w:val="00471AF5"/>
    <w:rPr>
      <w:color w:val="FF0000"/>
      <w:shd w:val="clear" w:color="auto" w:fill="auto"/>
    </w:rPr>
  </w:style>
  <w:style w:type="paragraph" w:customStyle="1" w:styleId="Point0number">
    <w:name w:val="Point 0 (number)"/>
    <w:basedOn w:val="Normal"/>
    <w:rsid w:val="00471AF5"/>
    <w:pPr>
      <w:numPr>
        <w:numId w:val="19"/>
      </w:numPr>
    </w:pPr>
  </w:style>
  <w:style w:type="paragraph" w:customStyle="1" w:styleId="Point1number">
    <w:name w:val="Point 1 (number)"/>
    <w:basedOn w:val="Normal"/>
    <w:rsid w:val="00471AF5"/>
    <w:pPr>
      <w:numPr>
        <w:ilvl w:val="2"/>
        <w:numId w:val="19"/>
      </w:numPr>
    </w:pPr>
  </w:style>
  <w:style w:type="paragraph" w:customStyle="1" w:styleId="Point2number">
    <w:name w:val="Point 2 (number)"/>
    <w:basedOn w:val="Normal"/>
    <w:rsid w:val="00471AF5"/>
    <w:pPr>
      <w:numPr>
        <w:ilvl w:val="4"/>
        <w:numId w:val="19"/>
      </w:numPr>
    </w:pPr>
  </w:style>
  <w:style w:type="paragraph" w:customStyle="1" w:styleId="Point3number">
    <w:name w:val="Point 3 (number)"/>
    <w:basedOn w:val="Normal"/>
    <w:rsid w:val="00471AF5"/>
    <w:pPr>
      <w:numPr>
        <w:ilvl w:val="6"/>
        <w:numId w:val="19"/>
      </w:numPr>
    </w:pPr>
  </w:style>
  <w:style w:type="paragraph" w:customStyle="1" w:styleId="Point0letter">
    <w:name w:val="Point 0 (letter)"/>
    <w:basedOn w:val="Normal"/>
    <w:rsid w:val="00471AF5"/>
    <w:pPr>
      <w:numPr>
        <w:ilvl w:val="1"/>
        <w:numId w:val="19"/>
      </w:numPr>
    </w:pPr>
  </w:style>
  <w:style w:type="paragraph" w:customStyle="1" w:styleId="Point1letter">
    <w:name w:val="Point 1 (letter)"/>
    <w:basedOn w:val="Normal"/>
    <w:rsid w:val="00471AF5"/>
    <w:pPr>
      <w:numPr>
        <w:ilvl w:val="3"/>
        <w:numId w:val="19"/>
      </w:numPr>
    </w:pPr>
  </w:style>
  <w:style w:type="paragraph" w:customStyle="1" w:styleId="Point2letter">
    <w:name w:val="Point 2 (letter)"/>
    <w:basedOn w:val="Normal"/>
    <w:rsid w:val="00471AF5"/>
    <w:pPr>
      <w:numPr>
        <w:ilvl w:val="5"/>
        <w:numId w:val="19"/>
      </w:numPr>
    </w:pPr>
  </w:style>
  <w:style w:type="paragraph" w:customStyle="1" w:styleId="Point3letter">
    <w:name w:val="Point 3 (letter)"/>
    <w:basedOn w:val="Normal"/>
    <w:rsid w:val="00471AF5"/>
    <w:pPr>
      <w:numPr>
        <w:ilvl w:val="7"/>
        <w:numId w:val="19"/>
      </w:numPr>
    </w:pPr>
  </w:style>
  <w:style w:type="paragraph" w:customStyle="1" w:styleId="Point4letter">
    <w:name w:val="Point 4 (letter)"/>
    <w:basedOn w:val="Normal"/>
    <w:rsid w:val="00471AF5"/>
    <w:pPr>
      <w:numPr>
        <w:ilvl w:val="8"/>
        <w:numId w:val="19"/>
      </w:numPr>
    </w:pPr>
  </w:style>
  <w:style w:type="paragraph" w:customStyle="1" w:styleId="Bullet0">
    <w:name w:val="Bullet 0"/>
    <w:basedOn w:val="Normal"/>
    <w:rsid w:val="00471AF5"/>
    <w:pPr>
      <w:numPr>
        <w:numId w:val="20"/>
      </w:numPr>
    </w:pPr>
  </w:style>
  <w:style w:type="paragraph" w:customStyle="1" w:styleId="Bullet1">
    <w:name w:val="Bullet 1"/>
    <w:basedOn w:val="Normal"/>
    <w:rsid w:val="00471AF5"/>
    <w:pPr>
      <w:numPr>
        <w:numId w:val="21"/>
      </w:numPr>
    </w:pPr>
  </w:style>
  <w:style w:type="paragraph" w:customStyle="1" w:styleId="Bullet2">
    <w:name w:val="Bullet 2"/>
    <w:basedOn w:val="Normal"/>
    <w:rsid w:val="00471AF5"/>
    <w:pPr>
      <w:numPr>
        <w:numId w:val="22"/>
      </w:numPr>
    </w:pPr>
  </w:style>
  <w:style w:type="paragraph" w:customStyle="1" w:styleId="Bullet3">
    <w:name w:val="Bullet 3"/>
    <w:basedOn w:val="Normal"/>
    <w:rsid w:val="00471AF5"/>
    <w:pPr>
      <w:numPr>
        <w:numId w:val="23"/>
      </w:numPr>
    </w:pPr>
  </w:style>
  <w:style w:type="paragraph" w:customStyle="1" w:styleId="Bullet4">
    <w:name w:val="Bullet 4"/>
    <w:basedOn w:val="Normal"/>
    <w:rsid w:val="00471AF5"/>
    <w:pPr>
      <w:numPr>
        <w:numId w:val="24"/>
      </w:numPr>
    </w:pPr>
  </w:style>
  <w:style w:type="paragraph" w:customStyle="1" w:styleId="Langue">
    <w:name w:val="Langue"/>
    <w:basedOn w:val="Normal"/>
    <w:next w:val="Rfrenceinterne"/>
    <w:rsid w:val="00471AF5"/>
    <w:pPr>
      <w:framePr w:wrap="around" w:vAnchor="page" w:hAnchor="text" w:xAlign="center" w:y="14741"/>
      <w:spacing w:before="0" w:after="600"/>
      <w:jc w:val="center"/>
    </w:pPr>
    <w:rPr>
      <w:b/>
      <w:caps/>
    </w:rPr>
  </w:style>
  <w:style w:type="paragraph" w:customStyle="1" w:styleId="Nomdelinstitution">
    <w:name w:val="Nom de l'institution"/>
    <w:basedOn w:val="Normal"/>
    <w:next w:val="Emission"/>
    <w:rsid w:val="00471AF5"/>
    <w:pPr>
      <w:spacing w:before="0" w:after="0"/>
      <w:jc w:val="left"/>
    </w:pPr>
    <w:rPr>
      <w:rFonts w:ascii="Arial" w:hAnsi="Arial" w:cs="Arial"/>
    </w:rPr>
  </w:style>
  <w:style w:type="paragraph" w:customStyle="1" w:styleId="Emission">
    <w:name w:val="Emission"/>
    <w:basedOn w:val="Normal"/>
    <w:next w:val="Rfrenceinstitutionnelle"/>
    <w:rsid w:val="00471AF5"/>
    <w:pPr>
      <w:spacing w:before="0" w:after="0"/>
      <w:ind w:left="5103"/>
      <w:jc w:val="left"/>
    </w:pPr>
  </w:style>
  <w:style w:type="paragraph" w:customStyle="1" w:styleId="Rfrenceinstitutionnelle">
    <w:name w:val="Référence institutionnelle"/>
    <w:basedOn w:val="Normal"/>
    <w:next w:val="Confidentialit"/>
    <w:rsid w:val="00471AF5"/>
    <w:pPr>
      <w:spacing w:before="0" w:after="240"/>
      <w:ind w:left="5103"/>
      <w:jc w:val="left"/>
    </w:pPr>
  </w:style>
  <w:style w:type="paragraph" w:customStyle="1" w:styleId="Pagedecouverture">
    <w:name w:val="Page de couverture"/>
    <w:basedOn w:val="Normal"/>
    <w:next w:val="Normal"/>
    <w:rsid w:val="00471AF5"/>
    <w:pPr>
      <w:spacing w:before="0" w:after="0"/>
    </w:pPr>
  </w:style>
  <w:style w:type="paragraph" w:customStyle="1" w:styleId="Declassification">
    <w:name w:val="Declassification"/>
    <w:basedOn w:val="Normal"/>
    <w:next w:val="Normal"/>
    <w:rsid w:val="00471AF5"/>
    <w:pPr>
      <w:spacing w:before="0" w:after="0"/>
    </w:pPr>
  </w:style>
  <w:style w:type="paragraph" w:customStyle="1" w:styleId="Disclaimer">
    <w:name w:val="Disclaimer"/>
    <w:basedOn w:val="Normal"/>
    <w:rsid w:val="00471AF5"/>
    <w:pPr>
      <w:framePr w:w="8220" w:wrap="notBeside" w:hAnchor="margin" w:xAlign="center" w:y="10401"/>
      <w:pBdr>
        <w:top w:val="single" w:sz="6" w:space="4" w:color="auto"/>
        <w:left w:val="single" w:sz="6" w:space="7" w:color="auto"/>
        <w:bottom w:val="single" w:sz="6" w:space="4" w:color="auto"/>
        <w:right w:val="single" w:sz="6" w:space="7" w:color="auto"/>
      </w:pBdr>
      <w:shd w:val="clear" w:color="FFFFFF" w:fill="auto"/>
    </w:pPr>
  </w:style>
  <w:style w:type="paragraph" w:customStyle="1" w:styleId="Annexetitreexpos">
    <w:name w:val="Annexe titre (exposé)"/>
    <w:basedOn w:val="Normal"/>
    <w:next w:val="Normal"/>
    <w:rsid w:val="00471AF5"/>
    <w:pPr>
      <w:jc w:val="center"/>
    </w:pPr>
    <w:rPr>
      <w:b/>
      <w:u w:val="single"/>
    </w:rPr>
  </w:style>
  <w:style w:type="paragraph" w:customStyle="1" w:styleId="Annexetitre">
    <w:name w:val="Annexe titre"/>
    <w:basedOn w:val="Normal"/>
    <w:next w:val="Normal"/>
    <w:rsid w:val="00471AF5"/>
    <w:pPr>
      <w:jc w:val="center"/>
    </w:pPr>
    <w:rPr>
      <w:b/>
      <w:u w:val="single"/>
    </w:rPr>
  </w:style>
  <w:style w:type="paragraph" w:customStyle="1" w:styleId="Annexetitrefichefinancire">
    <w:name w:val="Annexe titre (fiche financière)"/>
    <w:basedOn w:val="Normal"/>
    <w:next w:val="Normal"/>
    <w:rsid w:val="00471AF5"/>
    <w:pPr>
      <w:jc w:val="center"/>
    </w:pPr>
    <w:rPr>
      <w:b/>
      <w:u w:val="single"/>
    </w:rPr>
  </w:style>
  <w:style w:type="paragraph" w:customStyle="1" w:styleId="Applicationdirecte">
    <w:name w:val="Application directe"/>
    <w:basedOn w:val="Normal"/>
    <w:next w:val="Fait"/>
    <w:rsid w:val="00471AF5"/>
    <w:pPr>
      <w:spacing w:before="480"/>
    </w:pPr>
  </w:style>
  <w:style w:type="paragraph" w:customStyle="1" w:styleId="Avertissementtitre">
    <w:name w:val="Avertissement titre"/>
    <w:basedOn w:val="Normal"/>
    <w:next w:val="Normal"/>
    <w:rsid w:val="00471AF5"/>
    <w:pPr>
      <w:keepNext/>
      <w:spacing w:before="480"/>
    </w:pPr>
    <w:rPr>
      <w:u w:val="single"/>
    </w:rPr>
  </w:style>
  <w:style w:type="paragraph" w:customStyle="1" w:styleId="Confidence">
    <w:name w:val="Confidence"/>
    <w:basedOn w:val="Normal"/>
    <w:next w:val="Normal"/>
    <w:rsid w:val="00471AF5"/>
    <w:pPr>
      <w:spacing w:before="360"/>
      <w:jc w:val="center"/>
    </w:pPr>
  </w:style>
  <w:style w:type="paragraph" w:customStyle="1" w:styleId="Confidentialit">
    <w:name w:val="Confidentialité"/>
    <w:basedOn w:val="Normal"/>
    <w:next w:val="TypedudocumentPagedecouverture"/>
    <w:rsid w:val="00471AF5"/>
    <w:pPr>
      <w:spacing w:before="240" w:after="240"/>
      <w:ind w:left="5103"/>
      <w:jc w:val="left"/>
    </w:pPr>
    <w:rPr>
      <w:i/>
      <w:sz w:val="32"/>
    </w:rPr>
  </w:style>
  <w:style w:type="paragraph" w:customStyle="1" w:styleId="Considrant">
    <w:name w:val="Considérant"/>
    <w:basedOn w:val="Normal"/>
    <w:rsid w:val="00471AF5"/>
    <w:pPr>
      <w:numPr>
        <w:numId w:val="25"/>
      </w:numPr>
    </w:pPr>
  </w:style>
  <w:style w:type="paragraph" w:customStyle="1" w:styleId="Corrigendum">
    <w:name w:val="Corrigendum"/>
    <w:basedOn w:val="Normal"/>
    <w:next w:val="Normal"/>
    <w:rsid w:val="00471AF5"/>
    <w:pPr>
      <w:spacing w:before="0" w:after="240"/>
      <w:jc w:val="left"/>
    </w:pPr>
  </w:style>
  <w:style w:type="paragraph" w:customStyle="1" w:styleId="Datedadoption">
    <w:name w:val="Date d'adoption"/>
    <w:basedOn w:val="Normal"/>
    <w:next w:val="IntrtEEE"/>
    <w:rsid w:val="00471AF5"/>
    <w:pPr>
      <w:spacing w:before="360" w:after="0"/>
      <w:jc w:val="center"/>
    </w:pPr>
    <w:rPr>
      <w:b/>
    </w:rPr>
  </w:style>
  <w:style w:type="paragraph" w:customStyle="1" w:styleId="Exposdesmotifstitre">
    <w:name w:val="Exposé des motifs titre"/>
    <w:basedOn w:val="Normal"/>
    <w:next w:val="Normal"/>
    <w:rsid w:val="00471AF5"/>
    <w:pPr>
      <w:jc w:val="center"/>
    </w:pPr>
    <w:rPr>
      <w:b/>
      <w:u w:val="single"/>
    </w:rPr>
  </w:style>
  <w:style w:type="paragraph" w:customStyle="1" w:styleId="Fait">
    <w:name w:val="Fait à"/>
    <w:basedOn w:val="Normal"/>
    <w:next w:val="Institutionquisigne"/>
    <w:rsid w:val="00471AF5"/>
    <w:pPr>
      <w:keepNext/>
      <w:spacing w:after="0"/>
    </w:pPr>
  </w:style>
  <w:style w:type="paragraph" w:customStyle="1" w:styleId="Formuledadoption">
    <w:name w:val="Formule d'adoption"/>
    <w:basedOn w:val="Normal"/>
    <w:next w:val="Titrearticle"/>
    <w:rsid w:val="00471AF5"/>
    <w:pPr>
      <w:keepNext/>
    </w:pPr>
  </w:style>
  <w:style w:type="paragraph" w:customStyle="1" w:styleId="Institutionquiagit">
    <w:name w:val="Institution qui agit"/>
    <w:basedOn w:val="Normal"/>
    <w:next w:val="Normal"/>
    <w:rsid w:val="00471AF5"/>
    <w:pPr>
      <w:keepNext/>
      <w:spacing w:before="600"/>
    </w:pPr>
  </w:style>
  <w:style w:type="paragraph" w:customStyle="1" w:styleId="Institutionquisigne">
    <w:name w:val="Institution qui signe"/>
    <w:basedOn w:val="Normal"/>
    <w:next w:val="Personnequisigne"/>
    <w:rsid w:val="00471AF5"/>
    <w:pPr>
      <w:keepNext/>
      <w:tabs>
        <w:tab w:val="left" w:pos="4252"/>
      </w:tabs>
      <w:spacing w:before="720" w:after="0"/>
    </w:pPr>
    <w:rPr>
      <w:i/>
    </w:rPr>
  </w:style>
  <w:style w:type="paragraph" w:customStyle="1" w:styleId="ManualConsidrant">
    <w:name w:val="Manual Considérant"/>
    <w:basedOn w:val="Normal"/>
    <w:rsid w:val="00471AF5"/>
    <w:pPr>
      <w:ind w:left="709" w:hanging="709"/>
    </w:pPr>
  </w:style>
  <w:style w:type="paragraph" w:customStyle="1" w:styleId="Personnequisigne">
    <w:name w:val="Personne qui signe"/>
    <w:basedOn w:val="Normal"/>
    <w:next w:val="Institutionquisigne"/>
    <w:rsid w:val="00471AF5"/>
    <w:pPr>
      <w:tabs>
        <w:tab w:val="left" w:pos="4252"/>
      </w:tabs>
      <w:spacing w:before="0" w:after="0"/>
      <w:jc w:val="left"/>
    </w:pPr>
    <w:rPr>
      <w:i/>
    </w:rPr>
  </w:style>
  <w:style w:type="paragraph" w:customStyle="1" w:styleId="Rfrenceinterinstitutionnelle">
    <w:name w:val="Référence interinstitutionnelle"/>
    <w:basedOn w:val="Normal"/>
    <w:next w:val="Statut"/>
    <w:rsid w:val="00471AF5"/>
    <w:pPr>
      <w:spacing w:before="0" w:after="0"/>
      <w:ind w:left="5103"/>
      <w:jc w:val="left"/>
    </w:pPr>
  </w:style>
  <w:style w:type="paragraph" w:customStyle="1" w:styleId="Rfrenceinterne">
    <w:name w:val="Référence interne"/>
    <w:basedOn w:val="Normal"/>
    <w:next w:val="Rfrenceinterinstitutionnelle"/>
    <w:rsid w:val="00471AF5"/>
    <w:pPr>
      <w:spacing w:before="0" w:after="0"/>
      <w:ind w:left="5103"/>
      <w:jc w:val="left"/>
    </w:pPr>
  </w:style>
  <w:style w:type="paragraph" w:customStyle="1" w:styleId="Statut">
    <w:name w:val="Statut"/>
    <w:basedOn w:val="Normal"/>
    <w:next w:val="Typedudocument"/>
    <w:rsid w:val="00471AF5"/>
    <w:pPr>
      <w:spacing w:before="0" w:after="240"/>
      <w:jc w:val="center"/>
    </w:pPr>
  </w:style>
  <w:style w:type="paragraph" w:customStyle="1" w:styleId="Titrearticle">
    <w:name w:val="Titre article"/>
    <w:basedOn w:val="Normal"/>
    <w:next w:val="Normal"/>
    <w:rsid w:val="00471AF5"/>
    <w:pPr>
      <w:keepNext/>
      <w:spacing w:before="360"/>
      <w:jc w:val="center"/>
    </w:pPr>
    <w:rPr>
      <w:i/>
    </w:rPr>
  </w:style>
  <w:style w:type="paragraph" w:customStyle="1" w:styleId="Typedudocument">
    <w:name w:val="Type du document"/>
    <w:basedOn w:val="Normal"/>
    <w:next w:val="Accompagnant"/>
    <w:rsid w:val="00471AF5"/>
    <w:pPr>
      <w:spacing w:before="360" w:after="180"/>
      <w:jc w:val="center"/>
    </w:pPr>
    <w:rPr>
      <w:b/>
    </w:rPr>
  </w:style>
  <w:style w:type="character" w:customStyle="1" w:styleId="Added">
    <w:name w:val="Added"/>
    <w:basedOn w:val="DefaultParagraphFont"/>
    <w:rsid w:val="00471AF5"/>
    <w:rPr>
      <w:b/>
      <w:u w:val="single"/>
      <w:shd w:val="clear" w:color="auto" w:fill="auto"/>
    </w:rPr>
  </w:style>
  <w:style w:type="character" w:customStyle="1" w:styleId="Deleted">
    <w:name w:val="Deleted"/>
    <w:basedOn w:val="DefaultParagraphFont"/>
    <w:rsid w:val="00471AF5"/>
    <w:rPr>
      <w:strike/>
      <w:dstrike w:val="0"/>
      <w:shd w:val="clear" w:color="auto" w:fill="auto"/>
    </w:rPr>
  </w:style>
  <w:style w:type="paragraph" w:customStyle="1" w:styleId="Address">
    <w:name w:val="Address"/>
    <w:basedOn w:val="Normal"/>
    <w:next w:val="Normal"/>
    <w:rsid w:val="00471AF5"/>
    <w:pPr>
      <w:keepLines/>
      <w:spacing w:line="360" w:lineRule="auto"/>
      <w:ind w:left="3402"/>
      <w:jc w:val="left"/>
    </w:pPr>
  </w:style>
  <w:style w:type="paragraph" w:customStyle="1" w:styleId="Objetexterne">
    <w:name w:val="Objet externe"/>
    <w:basedOn w:val="Normal"/>
    <w:next w:val="Normal"/>
    <w:rsid w:val="00471AF5"/>
    <w:rPr>
      <w:i/>
      <w:caps/>
    </w:rPr>
  </w:style>
  <w:style w:type="paragraph" w:customStyle="1" w:styleId="Supertitre">
    <w:name w:val="Supertitre"/>
    <w:basedOn w:val="Normal"/>
    <w:next w:val="Normal"/>
    <w:rsid w:val="00471AF5"/>
    <w:pPr>
      <w:spacing w:before="0" w:after="600"/>
      <w:jc w:val="center"/>
    </w:pPr>
    <w:rPr>
      <w:b/>
    </w:rPr>
  </w:style>
  <w:style w:type="paragraph" w:customStyle="1" w:styleId="Languesfaisantfoi">
    <w:name w:val="Langues faisant foi"/>
    <w:basedOn w:val="Normal"/>
    <w:next w:val="Normal"/>
    <w:rsid w:val="00471AF5"/>
    <w:pPr>
      <w:spacing w:before="360" w:after="0"/>
      <w:jc w:val="center"/>
    </w:pPr>
  </w:style>
  <w:style w:type="paragraph" w:customStyle="1" w:styleId="Rfrencecroise">
    <w:name w:val="Référence croisée"/>
    <w:basedOn w:val="Normal"/>
    <w:rsid w:val="00471AF5"/>
    <w:pPr>
      <w:spacing w:before="0" w:after="0"/>
      <w:jc w:val="center"/>
    </w:pPr>
  </w:style>
  <w:style w:type="paragraph" w:customStyle="1" w:styleId="Fichefinanciretitre">
    <w:name w:val="Fiche financière titre"/>
    <w:basedOn w:val="Normal"/>
    <w:next w:val="Normal"/>
    <w:rsid w:val="00471AF5"/>
    <w:pPr>
      <w:jc w:val="center"/>
    </w:pPr>
    <w:rPr>
      <w:b/>
      <w:u w:val="single"/>
    </w:rPr>
  </w:style>
  <w:style w:type="paragraph" w:customStyle="1" w:styleId="DatedadoptionPagedecouverture">
    <w:name w:val="Date d'adoption (Page de couverture)"/>
    <w:basedOn w:val="Datedadoption"/>
    <w:next w:val="IntrtEEEPagedecouverture"/>
    <w:rsid w:val="00471AF5"/>
  </w:style>
  <w:style w:type="paragraph" w:customStyle="1" w:styleId="RfrenceinterinstitutionnellePagedecouverture">
    <w:name w:val="Référence interinstitutionnelle (Page de couverture)"/>
    <w:basedOn w:val="Rfrenceinterinstitutionnelle"/>
    <w:next w:val="Confidentialit"/>
    <w:rsid w:val="00471AF5"/>
  </w:style>
  <w:style w:type="paragraph" w:customStyle="1" w:styleId="StatutPagedecouverture">
    <w:name w:val="Statut (Page de couverture)"/>
    <w:basedOn w:val="Statut"/>
    <w:next w:val="TypedudocumentPagedecouverture"/>
    <w:rsid w:val="00471AF5"/>
  </w:style>
  <w:style w:type="paragraph" w:customStyle="1" w:styleId="TypedudocumentPagedecouverture">
    <w:name w:val="Type du document (Page de couverture)"/>
    <w:basedOn w:val="Typedudocument"/>
    <w:next w:val="AccompagnantPagedecouverture"/>
    <w:rsid w:val="00471AF5"/>
  </w:style>
  <w:style w:type="paragraph" w:customStyle="1" w:styleId="Volume">
    <w:name w:val="Volume"/>
    <w:basedOn w:val="Normal"/>
    <w:next w:val="Confidentialit"/>
    <w:rsid w:val="00471AF5"/>
    <w:pPr>
      <w:spacing w:before="0" w:after="240"/>
      <w:ind w:left="5103"/>
      <w:jc w:val="left"/>
    </w:pPr>
  </w:style>
  <w:style w:type="paragraph" w:customStyle="1" w:styleId="IntrtEEE">
    <w:name w:val="Intérêt EEE"/>
    <w:basedOn w:val="Languesfaisantfoi"/>
    <w:next w:val="Normal"/>
    <w:rsid w:val="00471AF5"/>
    <w:pPr>
      <w:spacing w:after="240"/>
    </w:pPr>
  </w:style>
  <w:style w:type="paragraph" w:customStyle="1" w:styleId="Accompagnant">
    <w:name w:val="Accompagnant"/>
    <w:basedOn w:val="Normal"/>
    <w:next w:val="Typeacteprincipal"/>
    <w:rsid w:val="00471AF5"/>
    <w:pPr>
      <w:spacing w:before="180" w:after="240"/>
      <w:jc w:val="center"/>
    </w:pPr>
    <w:rPr>
      <w:b/>
    </w:rPr>
  </w:style>
  <w:style w:type="paragraph" w:customStyle="1" w:styleId="Typeacteprincipal">
    <w:name w:val="Type acte principal"/>
    <w:basedOn w:val="Normal"/>
    <w:next w:val="Objetacteprincipal"/>
    <w:rsid w:val="00471AF5"/>
    <w:pPr>
      <w:spacing w:before="0" w:after="240"/>
      <w:jc w:val="center"/>
    </w:pPr>
    <w:rPr>
      <w:b/>
    </w:rPr>
  </w:style>
  <w:style w:type="paragraph" w:customStyle="1" w:styleId="Objetacteprincipal">
    <w:name w:val="Objet acte principal"/>
    <w:basedOn w:val="Normal"/>
    <w:next w:val="Titrearticle"/>
    <w:rsid w:val="00471AF5"/>
    <w:pPr>
      <w:spacing w:before="0" w:after="360"/>
      <w:jc w:val="center"/>
    </w:pPr>
    <w:rPr>
      <w:b/>
    </w:rPr>
  </w:style>
  <w:style w:type="paragraph" w:customStyle="1" w:styleId="IntrtEEEPagedecouverture">
    <w:name w:val="Intérêt EEE (Page de couverture)"/>
    <w:basedOn w:val="IntrtEEE"/>
    <w:next w:val="Rfrencecroise"/>
    <w:rsid w:val="00471AF5"/>
  </w:style>
  <w:style w:type="paragraph" w:customStyle="1" w:styleId="AccompagnantPagedecouverture">
    <w:name w:val="Accompagnant (Page de couverture)"/>
    <w:basedOn w:val="Accompagnant"/>
    <w:next w:val="TypeacteprincipalPagedecouverture"/>
    <w:rsid w:val="00471AF5"/>
  </w:style>
  <w:style w:type="paragraph" w:customStyle="1" w:styleId="TypeacteprincipalPagedecouverture">
    <w:name w:val="Type acte principal (Page de couverture)"/>
    <w:basedOn w:val="Typeacteprincipal"/>
    <w:next w:val="ObjetacteprincipalPagedecouverture"/>
    <w:rsid w:val="00471AF5"/>
  </w:style>
  <w:style w:type="paragraph" w:customStyle="1" w:styleId="ObjetacteprincipalPagedecouverture">
    <w:name w:val="Objet acte principal (Page de couverture)"/>
    <w:basedOn w:val="Objetacteprincipal"/>
    <w:next w:val="Rfrencecroise"/>
    <w:rsid w:val="00471AF5"/>
  </w:style>
  <w:style w:type="paragraph" w:customStyle="1" w:styleId="LanguesfaisantfoiPagedecouverture">
    <w:name w:val="Langues faisant foi (Page de couverture)"/>
    <w:basedOn w:val="Normal"/>
    <w:next w:val="Normal"/>
    <w:rsid w:val="00471AF5"/>
    <w:pPr>
      <w:spacing w:before="36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219774">
      <w:bodyDiv w:val="1"/>
      <w:marLeft w:val="0"/>
      <w:marRight w:val="0"/>
      <w:marTop w:val="0"/>
      <w:marBottom w:val="0"/>
      <w:divBdr>
        <w:top w:val="none" w:sz="0" w:space="0" w:color="auto"/>
        <w:left w:val="none" w:sz="0" w:space="0" w:color="auto"/>
        <w:bottom w:val="none" w:sz="0" w:space="0" w:color="auto"/>
        <w:right w:val="none" w:sz="0" w:space="0" w:color="auto"/>
      </w:divBdr>
    </w:div>
    <w:div w:id="832641547">
      <w:bodyDiv w:val="1"/>
      <w:marLeft w:val="0"/>
      <w:marRight w:val="0"/>
      <w:marTop w:val="0"/>
      <w:marBottom w:val="0"/>
      <w:divBdr>
        <w:top w:val="none" w:sz="0" w:space="0" w:color="auto"/>
        <w:left w:val="none" w:sz="0" w:space="0" w:color="auto"/>
        <w:bottom w:val="none" w:sz="0" w:space="0" w:color="auto"/>
        <w:right w:val="none" w:sz="0" w:space="0" w:color="auto"/>
      </w:divBdr>
    </w:div>
    <w:div w:id="1129056700">
      <w:bodyDiv w:val="1"/>
      <w:marLeft w:val="0"/>
      <w:marRight w:val="0"/>
      <w:marTop w:val="0"/>
      <w:marBottom w:val="0"/>
      <w:divBdr>
        <w:top w:val="none" w:sz="0" w:space="0" w:color="auto"/>
        <w:left w:val="none" w:sz="0" w:space="0" w:color="auto"/>
        <w:bottom w:val="none" w:sz="0" w:space="0" w:color="auto"/>
        <w:right w:val="none" w:sz="0" w:space="0" w:color="auto"/>
      </w:divBdr>
    </w:div>
    <w:div w:id="162326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ANNEX.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F1CC258-1609-4282-BE05-D3B027E1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ANNEX.dotm</Template>
  <TotalTime>186</TotalTime>
  <Pages>31</Pages>
  <Words>15549</Words>
  <Characters>60022</Characters>
  <Application>Microsoft Office Word</Application>
  <DocSecurity>0</DocSecurity>
  <Lines>15005</Lines>
  <Paragraphs>8396</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HERCHER Jachym (GROW)</dc:creator>
  <cp:lastModifiedBy>HERCHER Jachym (GROW)</cp:lastModifiedBy>
  <cp:revision>17</cp:revision>
  <dcterms:created xsi:type="dcterms:W3CDTF">2019-01-24T12:43:00Z</dcterms:created>
  <dcterms:modified xsi:type="dcterms:W3CDTF">2019-02-08T17:12:00Z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COM/ANNEX</vt:lpwstr>
  </property>
  <property fmtid="{D5CDD505-2E9C-101B-9397-08002B2CF9AE}" pid="3" name="Version">
    <vt:lpwstr>6.0.1.0</vt:lpwstr>
  </property>
  <property fmtid="{D5CDD505-2E9C-101B-9397-08002B2CF9AE}" pid="4" name="Last edited using">
    <vt:lpwstr>LW 6.0.1, Build 20180503</vt:lpwstr>
  </property>
  <property fmtid="{D5CDD505-2E9C-101B-9397-08002B2CF9AE}" pid="5" name="Created using">
    <vt:lpwstr>LW 6.0.1, Build 20180503</vt:lpwstr>
  </property>
  <property fmtid="{D5CDD505-2E9C-101B-9397-08002B2CF9AE}" pid="6" name="First annex">
    <vt:lpwstr>1</vt:lpwstr>
  </property>
  <property fmtid="{D5CDD505-2E9C-101B-9397-08002B2CF9AE}" pid="7" name="Last annex">
    <vt:lpwstr>1</vt:lpwstr>
  </property>
  <property fmtid="{D5CDD505-2E9C-101B-9397-08002B2CF9AE}" pid="8" name="Unique annex">
    <vt:lpwstr>1</vt:lpwstr>
  </property>
  <property fmtid="{D5CDD505-2E9C-101B-9397-08002B2CF9AE}" pid="9" name="Part">
    <vt:lpwstr>&lt;UNUSED&gt;</vt:lpwstr>
  </property>
  <property fmtid="{D5CDD505-2E9C-101B-9397-08002B2CF9AE}" pid="10" name="Total parts">
    <vt:lpwstr>&lt;UNUSED&gt;</vt:lpwstr>
  </property>
  <property fmtid="{D5CDD505-2E9C-101B-9397-08002B2CF9AE}" pid="11" name="Level of sensitivity">
    <vt:lpwstr>Standard treatment</vt:lpwstr>
  </property>
  <property fmtid="{D5CDD505-2E9C-101B-9397-08002B2CF9AE}" pid="12" name="LWTemplateID">
    <vt:lpwstr>SG-068</vt:lpwstr>
  </property>
  <property fmtid="{D5CDD505-2E9C-101B-9397-08002B2CF9AE}" pid="13" name="DQCStatus">
    <vt:lpwstr>Yellow (DQC version 03)</vt:lpwstr>
  </property>
</Properties>
</file>