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090FC"/>
          <w:sz w:val="48"/>
        </w:rPr>
        <w:t>Heatwave Detection Methodology</w:t>
      </w:r>
    </w:p>
    <w:p>
      <w:pPr>
        <w:spacing w:after="40"/>
      </w:pPr>
      <w:r>
        <w:rPr>
          <w:rFonts w:ascii="Arial" w:hAnsi="Arial"/>
          <w:sz w:val="25"/>
        </w:rPr>
        <w:t>Northern Nigeria / nationwide ward-level pipeline</w:t>
      </w:r>
    </w:p>
    <w:p>
      <w:r>
        <w:rPr>
          <w:rFonts w:ascii="Arial" w:hAnsi="Arial"/>
          <w:b/>
          <w:color w:val="0090FC"/>
          <w:sz w:val="20"/>
        </w:rPr>
        <w:t>For review before implementation</w:t>
      </w:r>
    </w:p>
    <w:p>
      <w:pPr>
        <w:pBdr>
          <w:bottom w:val="single" w:sz="12" w:space="1" w:color="0090FC"/>
        </w:pBdr>
      </w:pPr>
    </w:p>
    <w:p>
      <w:pPr>
        <w:spacing w:after="40"/>
      </w:pPr>
      <w:r>
        <w:rPr>
          <w:rFonts w:ascii="Arial" w:hAnsi="Arial"/>
          <w:sz w:val="18"/>
        </w:rPr>
        <w:t>Heatwave modelling pipeline (heatwave_modelling_CHAP) · Review draft</w:t>
      </w:r>
    </w:p>
    <w:p>
      <w:pPr>
        <w:spacing w:after="40"/>
      </w:pPr>
      <w:r>
        <w:rPr>
          <w:rFonts w:ascii="Arial" w:hAnsi="Arial"/>
          <w:sz w:val="18"/>
        </w:rPr>
        <w:t>Prepared for Adedo Lukmon · 7 September 2026</w:t>
      </w:r>
    </w:p>
    <w:p>
      <w:pPr>
        <w:pStyle w:val="Heading1"/>
      </w:pPr>
      <w:r>
        <w:t>1. Purpose</w:t>
      </w:r>
    </w:p>
    <w:p>
      <w:r>
        <w:t>Detect and characterise heatwave events at ward (admin-3) level across Nigeria, producing a weekly time_period × location covariate table suitable for later use as a climate covariate in disease-forecasting platforms such as CHAP (chap-core / dhis2-chap). This pipeline does not forecast disease outcomes itself — it produces an upstream covariate.</w:t>
      </w:r>
    </w:p>
    <w:p>
      <w:pPr>
        <w:pStyle w:val="Heading1"/>
      </w:pPr>
      <w:r>
        <w:t>2. Data sources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2365"/>
            <w:shd w:val="clear" w:color="auto" w:fill="0090FC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689"/>
            <w:shd w:val="clear" w:color="auto" w:fill="0090FC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5406"/>
            <w:shd w:val="clear" w:color="auto" w:fill="0090FC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65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ECMWF/ERA5_LAND/DAILY_AGGR</w:t>
              <w:br/>
              <w:t>(Google Earth Engine)</w:t>
            </w:r>
          </w:p>
        </w:tc>
        <w:tc>
          <w:tcPr>
            <w:tcW w:type="dxa" w:w="1689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Climate data</w:t>
            </w:r>
          </w:p>
        </w:tc>
        <w:tc>
          <w:tcPr>
            <w:tcW w:type="dxa" w:w="5406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~11.1 km resolution, daily, record from 1950-01-02. Bands used: temperature_2m_max (heatwave detection), temperature_2m, dewpoint_temperature_2m (Heat Index / RH).</w:t>
            </w:r>
          </w:p>
        </w:tc>
      </w:tr>
      <w:tr>
        <w:tc>
          <w:tcPr>
            <w:tcW w:type="dxa" w:w="2365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Ward boundaries (admin-3)</w:t>
            </w:r>
          </w:p>
        </w:tc>
        <w:tc>
          <w:tcPr>
            <w:tcW w:type="dxa" w:w="1689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Spatial units</w:t>
            </w:r>
          </w:p>
        </w:tc>
        <w:tc>
          <w:tcPr>
            <w:tcW w:type="dxa" w:w="5406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Supplied by the project team, nationwide coverage, uploaded as an Earth Engine FeatureCollection asset.</w:t>
            </w:r>
          </w:p>
        </w:tc>
      </w:tr>
      <w:tr>
        <w:tc>
          <w:tcPr>
            <w:tcW w:type="dxa" w:w="2365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Google Earth Engine service account</w:t>
            </w:r>
          </w:p>
        </w:tc>
        <w:tc>
          <w:tcPr>
            <w:tcW w:type="dxa" w:w="1689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Access</w:t>
            </w:r>
          </w:p>
        </w:tc>
        <w:tc>
          <w:tcPr>
            <w:tcW w:type="dxa" w:w="5406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Authenticates all data pulls; no raw climate data is stored locally except pipeline outputs (the covariate table).</w:t>
            </w:r>
          </w:p>
        </w:tc>
      </w:tr>
    </w:tbl>
    <w:p/>
    <w:p>
      <w:pPr>
        <w:pStyle w:val="Heading1"/>
      </w:pPr>
      <w:r>
        <w:t>3. Heatwave definition</w:t>
      </w:r>
    </w:p>
    <w:p>
      <w:r>
        <w:t>A WMO/ETCCDI-style percentile-exceedance definition is used, matching the Warm Spell Duration Index (WSDI) construct standard in the climate extremes literature.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Heatwave day</w:t>
      </w:r>
      <w:r>
        <w:rPr>
          <w:rFonts w:ascii="Arial" w:hAnsi="Arial"/>
          <w:b w:val="0"/>
          <w:sz w:val="20"/>
        </w:rPr>
        <w:t xml:space="preserve"> — daily maximum 2 m air temperature exceeds the ward's local 90th percentile of a 1991–2020 calendar-day climatology (±5-day pooling window).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Heatwave event</w:t>
      </w:r>
      <w:r>
        <w:rPr>
          <w:rFonts w:ascii="Arial" w:hAnsi="Arial"/>
          <w:b w:val="0"/>
          <w:sz w:val="20"/>
        </w:rPr>
        <w:t xml:space="preserve"> — ≥ 3 consecutive heatwave days.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Baseline period</w:t>
      </w:r>
      <w:r>
        <w:rPr>
          <w:rFonts w:ascii="Arial" w:hAnsi="Arial"/>
          <w:b w:val="0"/>
          <w:sz w:val="20"/>
        </w:rPr>
        <w:t xml:space="preserve"> — 1991–2020 (current WMO climate normal), fully covered by the ERA5-Land record.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val="clear" w:color="auto" w:fill="CCE9FE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0090FC"/>
                <w:sz w:val="19"/>
              </w:rPr>
              <w:t>Why percentile-based, not a fixed °C threshold</w:t>
            </w:r>
          </w:p>
          <w:p>
            <w:pPr>
              <w:spacing w:after="40" w:line="288" w:lineRule="auto"/>
            </w:pPr>
            <w:r>
              <w:rPr>
                <w:rFonts w:ascii="Arial" w:hAnsi="Arial"/>
                <w:color w:val="000000"/>
                <w:sz w:val="18"/>
              </w:rPr>
              <w:t>A percentile-relative, duration-gated definition is climate-adaptive: it accounts for Northern Nigeria's already-hot baseline, avoiding a fixed threshold that would either trigger constantly or almost never.</w:t>
            </w:r>
          </w:p>
        </w:tc>
      </w:tr>
    </w:tbl>
    <w:p/>
    <w:p>
      <w:pPr>
        <w:pStyle w:val="Heading1"/>
      </w:pPr>
      <w:r>
        <w:t>4. Heat Index and relative humidity</w:t>
      </w:r>
    </w:p>
    <w:p>
      <w:r>
        <w:t>Retained from the existing prototype, relocated into a tested module rather than rewritten: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Relative humidity approximation</w:t>
      </w:r>
      <w:r>
        <w:rPr>
          <w:rFonts w:ascii="Arial" w:hAnsi="Arial"/>
          <w:b w:val="0"/>
          <w:sz w:val="20"/>
        </w:rPr>
        <w:t>: RH = 100 − 5×(T − D) — a linear dewpoint-depression approximation, not a full psychrometric formula.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Heat Index</w:t>
      </w:r>
      <w:r>
        <w:rPr>
          <w:rFonts w:ascii="Arial" w:hAnsi="Arial"/>
          <w:b w:val="0"/>
          <w:sz w:val="20"/>
        </w:rPr>
        <w:t>: the standard NOAA/NWS Rothfusz 9-coefficient regression, applied to temperature in °F.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val="clear" w:color="auto" w:fill="CCE9FE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0090FC"/>
                <w:sz w:val="19"/>
              </w:rPr>
              <w:t>Documented limitation</w:t>
            </w:r>
          </w:p>
          <w:p>
            <w:pPr>
              <w:spacing w:after="40" w:line="288" w:lineRule="auto"/>
            </w:pPr>
            <w:r>
              <w:rPr>
                <w:rFonts w:ascii="Arial" w:hAnsi="Arial"/>
                <w:color w:val="000000"/>
                <w:sz w:val="18"/>
              </w:rPr>
              <w:t>The Rothfusz regression is only validated for T ≥ 80°F and RH ≥ 40%. Values outside that range are extrapolated and less reliable. This is stated here rather than silently corrected.</w:t>
            </w:r>
          </w:p>
        </w:tc>
      </w:tr>
    </w:tbl>
    <w:p/>
    <w:p>
      <w:pPr>
        <w:pStyle w:val="Heading1"/>
      </w:pPr>
      <w:r>
        <w:t>5. Spatial and temporal aggregation</w:t>
      </w:r>
    </w:p>
    <w:p>
      <w:r>
        <w:t>Per-ward daily series (via Earth Engine zonal reduction over the ward boundary asset) are aggregated to ISO week (YYYY-Www) per ward, matching typical disease-surveillance reporting cadence and CHAP's own supported time_period formats.</w:t>
      </w:r>
    </w:p>
    <w:p>
      <w:pPr>
        <w:pStyle w:val="Heading1"/>
      </w:pPr>
      <w:r>
        <w:t>6. Output schema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2703"/>
            <w:shd w:val="clear" w:color="auto" w:fill="0090FC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6758"/>
            <w:shd w:val="clear" w:color="auto" w:fill="0090FC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703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time_period</w:t>
            </w:r>
          </w:p>
        </w:tc>
        <w:tc>
          <w:tcPr>
            <w:tcW w:type="dxa" w:w="6758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ISO week, e.g. 2020-W23</w:t>
            </w:r>
          </w:p>
        </w:tc>
      </w:tr>
      <w:tr>
        <w:tc>
          <w:tcPr>
            <w:tcW w:type="dxa" w:w="2703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location</w:t>
            </w:r>
          </w:p>
        </w:tc>
        <w:tc>
          <w:tcPr>
            <w:tcW w:type="dxa" w:w="6758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Ward identifier matching the ward boundary asset's feature IDs</w:t>
            </w:r>
          </w:p>
        </w:tc>
      </w:tr>
      <w:tr>
        <w:tc>
          <w:tcPr>
            <w:tcW w:type="dxa" w:w="2703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heatwave_days</w:t>
            </w:r>
          </w:p>
        </w:tc>
        <w:tc>
          <w:tcPr>
            <w:tcW w:type="dxa" w:w="6758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Count of heatwave days in the week</w:t>
            </w:r>
          </w:p>
        </w:tc>
      </w:tr>
      <w:tr>
        <w:tc>
          <w:tcPr>
            <w:tcW w:type="dxa" w:w="2703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mean_heat_index</w:t>
            </w:r>
          </w:p>
        </w:tc>
        <w:tc>
          <w:tcPr>
            <w:tcW w:type="dxa" w:w="6758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Mean Heat Index (°F) across the week</w:t>
            </w:r>
          </w:p>
        </w:tc>
      </w:tr>
      <w:tr>
        <w:tc>
          <w:tcPr>
            <w:tcW w:type="dxa" w:w="2703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max_heat_index</w:t>
            </w:r>
          </w:p>
        </w:tc>
        <w:tc>
          <w:tcPr>
            <w:tcW w:type="dxa" w:w="6758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Maximum Heat Index (°F) across the week</w:t>
            </w:r>
          </w:p>
        </w:tc>
      </w:tr>
      <w:tr>
        <w:tc>
          <w:tcPr>
            <w:tcW w:type="dxa" w:w="2703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heatwave_event_count</w:t>
            </w:r>
          </w:p>
        </w:tc>
        <w:tc>
          <w:tcPr>
            <w:tcW w:type="dxa" w:w="6758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Number of distinct ≥ 3-day heatwave events starting that week</w:t>
            </w:r>
          </w:p>
        </w:tc>
      </w:tr>
    </w:tbl>
    <w:p/>
    <w:p>
      <w:pPr>
        <w:pStyle w:val="Heading1"/>
      </w:pPr>
      <w:r>
        <w:t>7. Known limitations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Resolution mismatch</w:t>
      </w:r>
      <w:r>
        <w:rPr>
          <w:rFonts w:ascii="Arial" w:hAnsi="Arial"/>
          <w:b w:val="0"/>
          <w:sz w:val="20"/>
        </w:rPr>
        <w:t xml:space="preserve"> — ERA5-Land's ~11 km grid is coarser than many wards; neighbouring small wards may share near-identical values. Documented, not corrected.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No health outcome data</w:t>
      </w:r>
      <w:r>
        <w:rPr>
          <w:rFonts w:ascii="Arial" w:hAnsi="Arial"/>
          <w:b w:val="0"/>
          <w:sz w:val="20"/>
        </w:rPr>
        <w:t xml:space="preserve"> — this is a covariate-only pipeline, not a disease-forecasting model. No CHAP model packaging (train/predict/MLproject) is included.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No independent ground truth</w:t>
      </w:r>
      <w:r>
        <w:rPr>
          <w:rFonts w:ascii="Arial" w:hAnsi="Arial"/>
          <w:b w:val="0"/>
          <w:sz w:val="20"/>
        </w:rPr>
        <w:t xml:space="preserve"> — validation is by plausibility check against known historical hot spells only; there is no labelled heatwave dataset for this region to validate against directly.</w:t>
      </w:r>
    </w:p>
    <w:p>
      <w:pPr>
        <w:pStyle w:val="Heading1"/>
      </w:pPr>
      <w:r>
        <w:t>8. References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color w:val="000000"/>
          <w:sz w:val="20"/>
        </w:rPr>
        <w:t>WMO (2018). Guidelines on the Definition and Monitoring of Extreme Weather and Climate Events.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color w:val="000000"/>
          <w:sz w:val="20"/>
        </w:rPr>
        <w:t>Perkins, S.E. &amp; Alexander, L.V. (2013). On the measurement of heat waves. Journal of Climate, 26(13), 4500–4517.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color w:val="000000"/>
          <w:sz w:val="20"/>
        </w:rPr>
        <w:t>Rothfusz, L.P. (1990). The heat index equation. NWS Technical Attachment SR 90-23.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color w:val="000000"/>
          <w:sz w:val="20"/>
        </w:rPr>
        <w:t>Hersbach, H. et al. (2020). The ERA5 global reanalysis. Quarterly Journal of the Royal Meteorological Society, 146(730), 1999–2049.</w:t>
      </w:r>
    </w:p>
    <w:sectPr w:rsidR="00FC693F" w:rsidRPr="0006063C" w:rsidSect="00034616"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Arial" w:hAnsi="Arial" w:cs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0090F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0090F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cs="Arial"/>
      <w:b/>
      <w:color w:val="0090F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