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BB0E5C" w14:textId="77777777" w:rsidR="00A814B7" w:rsidRDefault="00A814B7"/>
    <w:p w14:paraId="2CBFDCD0" w14:textId="3E4F2382" w:rsidR="00BC3E28" w:rsidRDefault="00124F6D" w:rsidP="00F5498E">
      <w:r>
        <w:tab/>
      </w:r>
      <w:r w:rsidR="005827EA">
        <w:t xml:space="preserve">I am examining the </w:t>
      </w:r>
      <w:r w:rsidR="004D5852">
        <w:t>Academic Progress Rate (APR) of NCAA teams</w:t>
      </w:r>
      <w:r w:rsidR="00366393">
        <w:t>, focusing specifically on men’s revenue sports, defined as football and occasionally men’s basketball</w:t>
      </w:r>
      <w:r w:rsidR="002F2E01">
        <w:t xml:space="preserve"> at the Division 1 level</w:t>
      </w:r>
      <w:r w:rsidR="00366393">
        <w:t>. My hypothesis is that men’s revenue sports have lower APR’s than non-revenue men’s sports</w:t>
      </w:r>
      <w:r w:rsidR="002F2E01">
        <w:t>. It is generally believed that m</w:t>
      </w:r>
      <w:r w:rsidR="005A4334">
        <w:t xml:space="preserve">ale college students who are also </w:t>
      </w:r>
      <w:r w:rsidR="00550FC1">
        <w:t>high-level</w:t>
      </w:r>
      <w:r w:rsidR="005A4334">
        <w:t xml:space="preserve"> athletes with likelihoods of professional careers that are directly based on their play in the NCAA </w:t>
      </w:r>
      <w:r w:rsidR="00BC3E28">
        <w:t xml:space="preserve">receive lower grades and have lesser academic outcomes due to the pressures of playing and the incentives it offers. </w:t>
      </w:r>
    </w:p>
    <w:p w14:paraId="06BE27CF" w14:textId="2EFC5768" w:rsidR="003C78F7" w:rsidRDefault="00BC3E28" w:rsidP="003278E3">
      <w:r>
        <w:tab/>
      </w:r>
      <w:r w:rsidR="00550FC1">
        <w:t>I used</w:t>
      </w:r>
      <w:r>
        <w:t xml:space="preserve"> </w:t>
      </w:r>
      <w:r w:rsidR="004442DA">
        <w:t xml:space="preserve">a dataset with a total sample of </w:t>
      </w:r>
      <w:r w:rsidR="000B4F27">
        <w:t xml:space="preserve">6,511 cases </w:t>
      </w:r>
      <w:r w:rsidR="004442DA">
        <w:t>from the years 2003-2014. This dataset focused on the four year rolling average APR</w:t>
      </w:r>
      <w:r w:rsidR="006359A3">
        <w:t xml:space="preserve"> from the 2010-11 season to the 2013-14 season</w:t>
      </w:r>
      <w:r w:rsidR="004442DA">
        <w:t xml:space="preserve">. </w:t>
      </w:r>
      <w:r w:rsidR="00146E61">
        <w:t xml:space="preserve">I used a subset of this data focusing on only Division 1 teams which was further narrowed to four teams, football, men’s basketball, men’s cross country, and </w:t>
      </w:r>
      <w:r w:rsidR="006A432F">
        <w:t>baseball</w:t>
      </w:r>
      <w:r w:rsidR="00E651EF">
        <w:t xml:space="preserve"> of 211 data points</w:t>
      </w:r>
      <w:r w:rsidR="006A432F">
        <w:t xml:space="preserve">. I picked these sports because football and men's basketball are </w:t>
      </w:r>
      <w:r w:rsidR="00FA722A">
        <w:t>revenue sports while cross country and baseball</w:t>
      </w:r>
      <w:r w:rsidR="006D032D">
        <w:t xml:space="preserve"> are not revenue sports. Although some college baseball players may later play professionally, they</w:t>
      </w:r>
      <w:r w:rsidR="003278E3">
        <w:t xml:space="preserve"> do not offer substantial monetary benefits to their institution for their play, thus they do not have the same incentives as football and men’s basketball players. </w:t>
      </w:r>
    </w:p>
    <w:p w14:paraId="4CCC398B" w14:textId="2C1C8813" w:rsidR="00A1049C" w:rsidRDefault="00202D68" w:rsidP="003C78F7">
      <w:pPr>
        <w:ind w:firstLine="720"/>
      </w:pPr>
      <w:r>
        <w:t xml:space="preserve">I used the metric of </w:t>
      </w:r>
      <w:r w:rsidR="00E3039B">
        <w:t>multi-year APR Rate</w:t>
      </w:r>
      <w:r>
        <w:t>, which is an interval variable</w:t>
      </w:r>
      <w:r w:rsidR="00E3039B">
        <w:t xml:space="preserve"> that measures </w:t>
      </w:r>
      <w:r w:rsidR="0068440D">
        <w:t>the multi-year APR from</w:t>
      </w:r>
      <w:r w:rsidR="00CD530D">
        <w:t xml:space="preserve"> the</w:t>
      </w:r>
      <w:r w:rsidR="0068440D">
        <w:t xml:space="preserve"> 20</w:t>
      </w:r>
      <w:r w:rsidR="00CD530D">
        <w:t>10-11 season to the 2013-14 one and is adjusted for team size</w:t>
      </w:r>
      <w:r>
        <w:t xml:space="preserve">. As it is not recommended to use intervals in </w:t>
      </w:r>
      <w:r w:rsidR="00550FC1">
        <w:t>crosstabs,</w:t>
      </w:r>
      <w:r>
        <w:t xml:space="preserve"> I created a new column in the data subset called APR_Scaled, which </w:t>
      </w:r>
      <w:r w:rsidR="001B041F">
        <w:t>placed the intervals into categories of “Average” [2], “Below Average” [1], and “Above Average” [3].</w:t>
      </w:r>
      <w:r w:rsidR="00A53BBF">
        <w:t xml:space="preserve"> I made these determinations based on the </w:t>
      </w:r>
      <w:r w:rsidR="00106B48">
        <w:t xml:space="preserve">standard deviations, means, </w:t>
      </w:r>
      <w:r w:rsidR="00BB2517">
        <w:t xml:space="preserve">minimums, and maximums of the original dataset filtering for Division 1 </w:t>
      </w:r>
      <w:r w:rsidR="008B1A9F">
        <w:t>institutions</w:t>
      </w:r>
      <w:r w:rsidR="00BB2517">
        <w:t xml:space="preserve"> and </w:t>
      </w:r>
      <w:r w:rsidR="008B1A9F">
        <w:t xml:space="preserve">the filtered subset of the four sports I used. </w:t>
      </w:r>
      <w:r w:rsidR="00D35F3F">
        <w:t xml:space="preserve">The total mean in 988.57 with a standard deviation of 13.72 while the </w:t>
      </w:r>
      <w:r w:rsidR="00074EF6">
        <w:t xml:space="preserve">mean of the </w:t>
      </w:r>
      <w:r w:rsidR="00D35F3F">
        <w:t>filter is 980</w:t>
      </w:r>
      <w:r w:rsidR="00E651EF">
        <w:t>.</w:t>
      </w:r>
      <w:r w:rsidR="000C02FC">
        <w:t xml:space="preserve"> Combined with the minimums of both datasets</w:t>
      </w:r>
      <w:r w:rsidR="001F73D7">
        <w:t xml:space="preserve">, 871 and 974 respectively, </w:t>
      </w:r>
      <w:r w:rsidR="00E72B87">
        <w:t xml:space="preserve">and their maximums, both 1000, </w:t>
      </w:r>
      <w:r w:rsidR="001F73D7">
        <w:t xml:space="preserve">I decided that any value less than 980 would be below average, coded as </w:t>
      </w:r>
      <w:r w:rsidR="00E72B87">
        <w:t xml:space="preserve">1 while anything above </w:t>
      </w:r>
      <w:r w:rsidR="00B2250C">
        <w:t>993 would be above average and thus coded as 3, everything in between those two values would be considered average and coded with 2.</w:t>
      </w:r>
    </w:p>
    <w:p w14:paraId="0DDCFFD5" w14:textId="0B0BF81A" w:rsidR="00A1049C" w:rsidRDefault="00A1049C" w:rsidP="00E85F14">
      <w:r>
        <w:tab/>
      </w:r>
      <w:r w:rsidR="003C78F7">
        <w:t xml:space="preserve">I used only men’s sports in this analysis as I cannot generalize on women’s sports which are all non-revenue and while there are some sports that could be prospective revenue sports, the incentives are very different. Additionally, the teams are </w:t>
      </w:r>
      <w:r w:rsidR="00EF3E8F">
        <w:t>not separated</w:t>
      </w:r>
      <w:r w:rsidR="003C78F7">
        <w:t xml:space="preserve"> by conference or revenue</w:t>
      </w:r>
      <w:r w:rsidR="00EF3E8F">
        <w:t xml:space="preserve">, meaning that there is a wide </w:t>
      </w:r>
      <w:r w:rsidR="003C21ED">
        <w:t>swathe of athletic departments that are covered, some of whom have million dollar TV deals and others of which that do not.</w:t>
      </w:r>
      <w:r w:rsidR="002661FF">
        <w:t xml:space="preserve"> </w:t>
      </w:r>
      <w:r w:rsidR="00CD530D">
        <w:t xml:space="preserve">Further, I am using </w:t>
      </w:r>
      <w:r w:rsidR="00E85F14">
        <w:t xml:space="preserve">a variable that is adjusted for team size meaning that smaller teams can have their APR’s skewed either higher or lower due to a few academically high achieving </w:t>
      </w:r>
      <w:r w:rsidR="00E85F14">
        <w:lastRenderedPageBreak/>
        <w:t xml:space="preserve">team members. </w:t>
      </w:r>
      <w:r w:rsidR="00260CBA">
        <w:t>Further, APR takes into account retention</w:t>
      </w:r>
      <w:r w:rsidR="00D1366F">
        <w:t xml:space="preserve"> </w:t>
      </w:r>
      <w:r w:rsidR="00F31CBE">
        <w:t xml:space="preserve">and men’s basketball has a high proportion of players who are “one and done”, meaning they </w:t>
      </w:r>
      <w:r w:rsidR="005B7FF5">
        <w:t xml:space="preserve">leave after completing one year of school, thus </w:t>
      </w:r>
      <w:r w:rsidR="008C33E5">
        <w:t>artificially</w:t>
      </w:r>
      <w:r w:rsidR="006821F9">
        <w:t xml:space="preserve"> depressing the APR value</w:t>
      </w:r>
      <w:r w:rsidR="00260CBA">
        <w:t xml:space="preserve">. </w:t>
      </w:r>
      <w:r w:rsidR="002661FF">
        <w:t xml:space="preserve">Creating my own variable could also lead to some bias as the boundaries are slightly arbitrary and </w:t>
      </w:r>
      <w:r w:rsidR="00E3039B">
        <w:t>can be argued a few points in either direction.</w:t>
      </w:r>
    </w:p>
    <w:p w14:paraId="661DCDFC" w14:textId="48F77C06" w:rsidR="00E85F14" w:rsidRDefault="00C16C2E" w:rsidP="00E85F14">
      <w:pPr>
        <w:rPr>
          <w:b/>
          <w:bCs/>
        </w:rPr>
      </w:pPr>
      <w:r>
        <w:rPr>
          <w:b/>
          <w:bCs/>
        </w:rPr>
        <w:t xml:space="preserve">Table 1: Crosstabulation of </w:t>
      </w:r>
      <w:r w:rsidR="00192960">
        <w:rPr>
          <w:b/>
          <w:bCs/>
        </w:rPr>
        <w:t>Sport Played</w:t>
      </w:r>
      <w:r w:rsidR="00CF7B79">
        <w:rPr>
          <w:b/>
          <w:bCs/>
        </w:rPr>
        <w:t xml:space="preserve"> by Academic Progress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152103" w14:paraId="4AFB6762" w14:textId="77777777" w:rsidTr="00EC13FC">
        <w:trPr>
          <w:jc w:val="center"/>
        </w:trPr>
        <w:tc>
          <w:tcPr>
            <w:tcW w:w="1915" w:type="dxa"/>
            <w:vAlign w:val="center"/>
          </w:tcPr>
          <w:p w14:paraId="3A25CE58" w14:textId="77777777" w:rsidR="00152103" w:rsidRDefault="00152103" w:rsidP="00EC13FC">
            <w:pPr>
              <w:jc w:val="center"/>
              <w:rPr>
                <w:b/>
                <w:bCs/>
              </w:rPr>
            </w:pPr>
          </w:p>
        </w:tc>
        <w:tc>
          <w:tcPr>
            <w:tcW w:w="1915" w:type="dxa"/>
            <w:vAlign w:val="center"/>
          </w:tcPr>
          <w:p w14:paraId="5769D28B" w14:textId="3DD40CC9" w:rsidR="00152103" w:rsidRDefault="00152103" w:rsidP="00EC13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Below Average</w:t>
            </w:r>
          </w:p>
        </w:tc>
        <w:tc>
          <w:tcPr>
            <w:tcW w:w="1915" w:type="dxa"/>
            <w:vAlign w:val="center"/>
          </w:tcPr>
          <w:p w14:paraId="11BF10C4" w14:textId="5C553819" w:rsidR="00152103" w:rsidRDefault="00152103" w:rsidP="00EC13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Average</w:t>
            </w:r>
          </w:p>
        </w:tc>
        <w:tc>
          <w:tcPr>
            <w:tcW w:w="1915" w:type="dxa"/>
            <w:vAlign w:val="center"/>
          </w:tcPr>
          <w:p w14:paraId="69F2E2C0" w14:textId="77E72DB9" w:rsidR="00152103" w:rsidRDefault="00152103" w:rsidP="00EC13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Above Average</w:t>
            </w:r>
          </w:p>
        </w:tc>
        <w:tc>
          <w:tcPr>
            <w:tcW w:w="1916" w:type="dxa"/>
            <w:vAlign w:val="center"/>
          </w:tcPr>
          <w:p w14:paraId="25F1DEC1" w14:textId="2A4F2EEF" w:rsidR="00152103" w:rsidRPr="00152103" w:rsidRDefault="00152103" w:rsidP="00EC13FC">
            <w:pPr>
              <w:jc w:val="center"/>
              <w:rPr>
                <w:b/>
                <w:bCs/>
                <w:i/>
                <w:iCs/>
              </w:rPr>
            </w:pPr>
            <w:r w:rsidRPr="00152103">
              <w:rPr>
                <w:b/>
                <w:bCs/>
                <w:i/>
                <w:iCs/>
              </w:rPr>
              <w:t>TOTAL</w:t>
            </w:r>
          </w:p>
        </w:tc>
      </w:tr>
      <w:tr w:rsidR="00152103" w14:paraId="77E909A6" w14:textId="77777777" w:rsidTr="00EC13FC">
        <w:trPr>
          <w:jc w:val="center"/>
        </w:trPr>
        <w:tc>
          <w:tcPr>
            <w:tcW w:w="1915" w:type="dxa"/>
          </w:tcPr>
          <w:p w14:paraId="29B9E934" w14:textId="55A9D556" w:rsidR="00152103" w:rsidRDefault="00152103" w:rsidP="00EC13FC">
            <w:pPr>
              <w:rPr>
                <w:b/>
                <w:bCs/>
              </w:rPr>
            </w:pPr>
            <w:r>
              <w:rPr>
                <w:b/>
                <w:bCs/>
              </w:rPr>
              <w:t>Baseball</w:t>
            </w:r>
          </w:p>
        </w:tc>
        <w:tc>
          <w:tcPr>
            <w:tcW w:w="1915" w:type="dxa"/>
            <w:vAlign w:val="center"/>
          </w:tcPr>
          <w:p w14:paraId="6509A746" w14:textId="77777777" w:rsidR="00152103" w:rsidRDefault="00BE35C2" w:rsidP="00EC13FC">
            <w:pPr>
              <w:jc w:val="center"/>
            </w:pPr>
            <w:r>
              <w:t>25</w:t>
            </w:r>
          </w:p>
          <w:p w14:paraId="5C34381F" w14:textId="7037D990" w:rsidR="00A85265" w:rsidRPr="00BE35C2" w:rsidRDefault="00BE413B" w:rsidP="00EC13FC">
            <w:pPr>
              <w:jc w:val="center"/>
            </w:pPr>
            <w:r>
              <w:t>25%</w:t>
            </w:r>
          </w:p>
        </w:tc>
        <w:tc>
          <w:tcPr>
            <w:tcW w:w="1915" w:type="dxa"/>
            <w:vAlign w:val="center"/>
          </w:tcPr>
          <w:p w14:paraId="7C79A7C3" w14:textId="77777777" w:rsidR="00152103" w:rsidRDefault="00BE35C2" w:rsidP="00EC13FC">
            <w:pPr>
              <w:jc w:val="center"/>
            </w:pPr>
            <w:r>
              <w:t>25</w:t>
            </w:r>
          </w:p>
          <w:p w14:paraId="5A59DAFF" w14:textId="59DD36AC" w:rsidR="00A85265" w:rsidRPr="00BE35C2" w:rsidRDefault="00533B7F" w:rsidP="00EC13FC">
            <w:pPr>
              <w:jc w:val="center"/>
            </w:pPr>
            <w:r>
              <w:t>30.8%</w:t>
            </w:r>
          </w:p>
        </w:tc>
        <w:tc>
          <w:tcPr>
            <w:tcW w:w="1915" w:type="dxa"/>
            <w:vAlign w:val="center"/>
          </w:tcPr>
          <w:p w14:paraId="62B00B7B" w14:textId="77777777" w:rsidR="00152103" w:rsidRDefault="00BE35C2" w:rsidP="00EC13FC">
            <w:pPr>
              <w:jc w:val="center"/>
            </w:pPr>
            <w:r>
              <w:t>7</w:t>
            </w:r>
          </w:p>
          <w:p w14:paraId="44334B64" w14:textId="2FAAE04B" w:rsidR="00A85265" w:rsidRPr="00BE35C2" w:rsidRDefault="008A150A" w:rsidP="00EC13FC">
            <w:pPr>
              <w:jc w:val="center"/>
            </w:pPr>
            <w:r>
              <w:t>23.3%</w:t>
            </w:r>
          </w:p>
        </w:tc>
        <w:tc>
          <w:tcPr>
            <w:tcW w:w="1916" w:type="dxa"/>
            <w:vAlign w:val="center"/>
          </w:tcPr>
          <w:p w14:paraId="4903521C" w14:textId="77777777" w:rsidR="00152103" w:rsidRDefault="00285736" w:rsidP="00EC13FC">
            <w:pPr>
              <w:jc w:val="center"/>
              <w:rPr>
                <w:b/>
                <w:bCs/>
              </w:rPr>
            </w:pPr>
            <w:r w:rsidRPr="00A85265">
              <w:rPr>
                <w:b/>
                <w:bCs/>
              </w:rPr>
              <w:t>57</w:t>
            </w:r>
          </w:p>
          <w:p w14:paraId="7EE02499" w14:textId="4E275E96" w:rsidR="00A85265" w:rsidRPr="00DA75FF" w:rsidRDefault="00DA75FF" w:rsidP="00EC13FC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27.0%</w:t>
            </w:r>
          </w:p>
        </w:tc>
      </w:tr>
      <w:tr w:rsidR="00152103" w14:paraId="2B27E01D" w14:textId="77777777" w:rsidTr="00EC13FC">
        <w:trPr>
          <w:jc w:val="center"/>
        </w:trPr>
        <w:tc>
          <w:tcPr>
            <w:tcW w:w="1915" w:type="dxa"/>
            <w:vAlign w:val="center"/>
          </w:tcPr>
          <w:p w14:paraId="4224201D" w14:textId="2739F9C1" w:rsidR="00152103" w:rsidRDefault="00152103" w:rsidP="00EC13FC">
            <w:pPr>
              <w:rPr>
                <w:b/>
                <w:bCs/>
              </w:rPr>
            </w:pPr>
            <w:r>
              <w:rPr>
                <w:b/>
                <w:bCs/>
              </w:rPr>
              <w:t>Men’s Basketball</w:t>
            </w:r>
          </w:p>
        </w:tc>
        <w:tc>
          <w:tcPr>
            <w:tcW w:w="1915" w:type="dxa"/>
            <w:vAlign w:val="center"/>
          </w:tcPr>
          <w:p w14:paraId="4FC2395D" w14:textId="77777777" w:rsidR="00152103" w:rsidRDefault="00285736" w:rsidP="00EC13FC">
            <w:pPr>
              <w:jc w:val="center"/>
            </w:pPr>
            <w:r w:rsidRPr="00533C16">
              <w:t>35</w:t>
            </w:r>
          </w:p>
          <w:p w14:paraId="7EF0C748" w14:textId="3A7646BA" w:rsidR="00A85265" w:rsidRPr="00533C16" w:rsidRDefault="00BE413B" w:rsidP="00EC13FC">
            <w:pPr>
              <w:jc w:val="center"/>
            </w:pPr>
            <w:r>
              <w:t>35%</w:t>
            </w:r>
          </w:p>
        </w:tc>
        <w:tc>
          <w:tcPr>
            <w:tcW w:w="1915" w:type="dxa"/>
            <w:vAlign w:val="center"/>
          </w:tcPr>
          <w:p w14:paraId="41D2B4F2" w14:textId="77777777" w:rsidR="00152103" w:rsidRDefault="00285736" w:rsidP="00EC13FC">
            <w:pPr>
              <w:jc w:val="center"/>
            </w:pPr>
            <w:r w:rsidRPr="00533C16">
              <w:t>23</w:t>
            </w:r>
          </w:p>
          <w:p w14:paraId="761A11AF" w14:textId="180ED8E5" w:rsidR="00A85265" w:rsidRPr="00533C16" w:rsidRDefault="001F2E13" w:rsidP="00EC13FC">
            <w:pPr>
              <w:jc w:val="center"/>
            </w:pPr>
            <w:r>
              <w:t>28.4%</w:t>
            </w:r>
          </w:p>
        </w:tc>
        <w:tc>
          <w:tcPr>
            <w:tcW w:w="1915" w:type="dxa"/>
            <w:vAlign w:val="center"/>
          </w:tcPr>
          <w:p w14:paraId="721F614E" w14:textId="77777777" w:rsidR="00152103" w:rsidRDefault="00285736" w:rsidP="00EC13FC">
            <w:pPr>
              <w:jc w:val="center"/>
            </w:pPr>
            <w:r w:rsidRPr="00533C16">
              <w:t>3</w:t>
            </w:r>
          </w:p>
          <w:p w14:paraId="61256294" w14:textId="3D54C926" w:rsidR="00A85265" w:rsidRPr="00533C16" w:rsidRDefault="008A150A" w:rsidP="00EC13FC">
            <w:pPr>
              <w:jc w:val="center"/>
            </w:pPr>
            <w:r>
              <w:t>10%</w:t>
            </w:r>
          </w:p>
        </w:tc>
        <w:tc>
          <w:tcPr>
            <w:tcW w:w="1916" w:type="dxa"/>
            <w:vAlign w:val="center"/>
          </w:tcPr>
          <w:p w14:paraId="6FCF845E" w14:textId="77777777" w:rsidR="00152103" w:rsidRDefault="00533C16" w:rsidP="00EC13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61</w:t>
            </w:r>
          </w:p>
          <w:p w14:paraId="7243B947" w14:textId="3E6D7913" w:rsidR="00A85265" w:rsidRPr="00DA75FF" w:rsidRDefault="004C219E" w:rsidP="00EC13FC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28.9%</w:t>
            </w:r>
          </w:p>
        </w:tc>
      </w:tr>
      <w:tr w:rsidR="00152103" w14:paraId="5F47A786" w14:textId="77777777" w:rsidTr="00EC13FC">
        <w:trPr>
          <w:jc w:val="center"/>
        </w:trPr>
        <w:tc>
          <w:tcPr>
            <w:tcW w:w="1915" w:type="dxa"/>
          </w:tcPr>
          <w:p w14:paraId="33CD942C" w14:textId="67E6E194" w:rsidR="00152103" w:rsidRDefault="00152103" w:rsidP="00EC13FC">
            <w:pPr>
              <w:rPr>
                <w:b/>
                <w:bCs/>
              </w:rPr>
            </w:pPr>
            <w:r>
              <w:rPr>
                <w:b/>
                <w:bCs/>
              </w:rPr>
              <w:t>Men’s Cross Country</w:t>
            </w:r>
          </w:p>
        </w:tc>
        <w:tc>
          <w:tcPr>
            <w:tcW w:w="1915" w:type="dxa"/>
            <w:vAlign w:val="center"/>
          </w:tcPr>
          <w:p w14:paraId="772CFE99" w14:textId="77777777" w:rsidR="00152103" w:rsidRDefault="00533C16" w:rsidP="00EC13FC">
            <w:pPr>
              <w:jc w:val="center"/>
            </w:pPr>
            <w:r w:rsidRPr="00533C16">
              <w:t>7</w:t>
            </w:r>
          </w:p>
          <w:p w14:paraId="70BA3B71" w14:textId="76A97BA9" w:rsidR="00A85265" w:rsidRPr="00533C16" w:rsidRDefault="00BE413B" w:rsidP="00EC13FC">
            <w:pPr>
              <w:jc w:val="center"/>
            </w:pPr>
            <w:r>
              <w:t>7%</w:t>
            </w:r>
          </w:p>
        </w:tc>
        <w:tc>
          <w:tcPr>
            <w:tcW w:w="1915" w:type="dxa"/>
            <w:vAlign w:val="center"/>
          </w:tcPr>
          <w:p w14:paraId="1614B0CE" w14:textId="77777777" w:rsidR="00152103" w:rsidRDefault="00533C16" w:rsidP="00EC13FC">
            <w:pPr>
              <w:jc w:val="center"/>
            </w:pPr>
            <w:r w:rsidRPr="00533C16">
              <w:t>25</w:t>
            </w:r>
          </w:p>
          <w:p w14:paraId="338747A0" w14:textId="0778FD1B" w:rsidR="00A85265" w:rsidRPr="00533C16" w:rsidRDefault="001F2E13" w:rsidP="00EC13FC">
            <w:pPr>
              <w:jc w:val="center"/>
            </w:pPr>
            <w:r>
              <w:t>30.8%</w:t>
            </w:r>
          </w:p>
        </w:tc>
        <w:tc>
          <w:tcPr>
            <w:tcW w:w="1915" w:type="dxa"/>
            <w:vAlign w:val="center"/>
          </w:tcPr>
          <w:p w14:paraId="5E42A32C" w14:textId="77777777" w:rsidR="00152103" w:rsidRDefault="00533C16" w:rsidP="00EC13FC">
            <w:pPr>
              <w:jc w:val="center"/>
            </w:pPr>
            <w:r w:rsidRPr="00533C16">
              <w:t>20</w:t>
            </w:r>
          </w:p>
          <w:p w14:paraId="67D39C6A" w14:textId="2185A9FF" w:rsidR="00A85265" w:rsidRPr="00533C16" w:rsidRDefault="008A150A" w:rsidP="00EC13FC">
            <w:pPr>
              <w:jc w:val="center"/>
            </w:pPr>
            <w:r>
              <w:t>66.7%</w:t>
            </w:r>
          </w:p>
        </w:tc>
        <w:tc>
          <w:tcPr>
            <w:tcW w:w="1916" w:type="dxa"/>
            <w:vAlign w:val="center"/>
          </w:tcPr>
          <w:p w14:paraId="0DE9D20C" w14:textId="77777777" w:rsidR="00152103" w:rsidRDefault="00533C16" w:rsidP="00EC13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52</w:t>
            </w:r>
          </w:p>
          <w:p w14:paraId="3C247FCD" w14:textId="0FD734F0" w:rsidR="00B65C03" w:rsidRPr="004C219E" w:rsidRDefault="004C219E" w:rsidP="00EC13FC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24.6%</w:t>
            </w:r>
          </w:p>
        </w:tc>
      </w:tr>
      <w:tr w:rsidR="00152103" w14:paraId="38CAA0A4" w14:textId="77777777" w:rsidTr="00EC13FC">
        <w:trPr>
          <w:jc w:val="center"/>
        </w:trPr>
        <w:tc>
          <w:tcPr>
            <w:tcW w:w="1915" w:type="dxa"/>
          </w:tcPr>
          <w:p w14:paraId="5AF2A787" w14:textId="5D1FBEAF" w:rsidR="00152103" w:rsidRDefault="00152103" w:rsidP="00EC13FC">
            <w:pPr>
              <w:rPr>
                <w:b/>
                <w:bCs/>
              </w:rPr>
            </w:pPr>
            <w:r>
              <w:rPr>
                <w:b/>
                <w:bCs/>
              </w:rPr>
              <w:t>Football</w:t>
            </w:r>
          </w:p>
        </w:tc>
        <w:tc>
          <w:tcPr>
            <w:tcW w:w="1915" w:type="dxa"/>
            <w:vAlign w:val="center"/>
          </w:tcPr>
          <w:p w14:paraId="495DF380" w14:textId="77777777" w:rsidR="00152103" w:rsidRDefault="00533C16" w:rsidP="00EC13FC">
            <w:pPr>
              <w:jc w:val="center"/>
            </w:pPr>
            <w:r w:rsidRPr="00533C16">
              <w:t>33</w:t>
            </w:r>
          </w:p>
          <w:p w14:paraId="2A11DCCE" w14:textId="65E4182C" w:rsidR="00B65C03" w:rsidRPr="00533C16" w:rsidRDefault="00BE413B" w:rsidP="00EC13FC">
            <w:pPr>
              <w:jc w:val="center"/>
            </w:pPr>
            <w:r>
              <w:t>33%</w:t>
            </w:r>
          </w:p>
        </w:tc>
        <w:tc>
          <w:tcPr>
            <w:tcW w:w="1915" w:type="dxa"/>
            <w:vAlign w:val="center"/>
          </w:tcPr>
          <w:p w14:paraId="20BE20B3" w14:textId="77777777" w:rsidR="00152103" w:rsidRDefault="00533C16" w:rsidP="00EC13FC">
            <w:pPr>
              <w:jc w:val="center"/>
            </w:pPr>
            <w:r w:rsidRPr="00533C16">
              <w:t>8</w:t>
            </w:r>
          </w:p>
          <w:p w14:paraId="0A50A0DB" w14:textId="274AE13B" w:rsidR="00B65C03" w:rsidRPr="00533C16" w:rsidRDefault="001F2E13" w:rsidP="00EC13FC">
            <w:pPr>
              <w:jc w:val="center"/>
            </w:pPr>
            <w:r>
              <w:t>9.9%</w:t>
            </w:r>
          </w:p>
        </w:tc>
        <w:tc>
          <w:tcPr>
            <w:tcW w:w="1915" w:type="dxa"/>
            <w:vAlign w:val="center"/>
          </w:tcPr>
          <w:p w14:paraId="0563888B" w14:textId="77777777" w:rsidR="00152103" w:rsidRDefault="00533C16" w:rsidP="00EC13FC">
            <w:pPr>
              <w:jc w:val="center"/>
            </w:pPr>
            <w:r w:rsidRPr="00533C16">
              <w:t>0</w:t>
            </w:r>
          </w:p>
          <w:p w14:paraId="5237B91D" w14:textId="2CACF21D" w:rsidR="00B65C03" w:rsidRPr="00533C16" w:rsidRDefault="001F2E13" w:rsidP="00EC13FC">
            <w:pPr>
              <w:jc w:val="center"/>
            </w:pPr>
            <w:r>
              <w:t>0%</w:t>
            </w:r>
          </w:p>
        </w:tc>
        <w:tc>
          <w:tcPr>
            <w:tcW w:w="1916" w:type="dxa"/>
            <w:vAlign w:val="center"/>
          </w:tcPr>
          <w:p w14:paraId="5191A0EA" w14:textId="77777777" w:rsidR="00152103" w:rsidRDefault="00533C16" w:rsidP="00EC13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41</w:t>
            </w:r>
          </w:p>
          <w:p w14:paraId="3EC57948" w14:textId="33389EE9" w:rsidR="00B65C03" w:rsidRPr="004C219E" w:rsidRDefault="004C219E" w:rsidP="00EC13FC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19.4%</w:t>
            </w:r>
          </w:p>
        </w:tc>
      </w:tr>
      <w:tr w:rsidR="00152103" w14:paraId="0EAAB8E8" w14:textId="77777777" w:rsidTr="00EC13FC">
        <w:trPr>
          <w:jc w:val="center"/>
        </w:trPr>
        <w:tc>
          <w:tcPr>
            <w:tcW w:w="1915" w:type="dxa"/>
            <w:vAlign w:val="center"/>
          </w:tcPr>
          <w:p w14:paraId="5081731E" w14:textId="77777777" w:rsidR="00152103" w:rsidRDefault="00152103" w:rsidP="00EC13FC">
            <w:pPr>
              <w:jc w:val="center"/>
              <w:rPr>
                <w:b/>
                <w:bCs/>
              </w:rPr>
            </w:pPr>
          </w:p>
        </w:tc>
        <w:tc>
          <w:tcPr>
            <w:tcW w:w="1915" w:type="dxa"/>
            <w:vAlign w:val="center"/>
          </w:tcPr>
          <w:p w14:paraId="112A20F1" w14:textId="3BA7DEFF" w:rsidR="00152103" w:rsidRDefault="007417F2" w:rsidP="00EC13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100</w:t>
            </w:r>
          </w:p>
        </w:tc>
        <w:tc>
          <w:tcPr>
            <w:tcW w:w="1915" w:type="dxa"/>
            <w:vAlign w:val="center"/>
          </w:tcPr>
          <w:p w14:paraId="183E6544" w14:textId="375F4059" w:rsidR="00152103" w:rsidRDefault="00533B7F" w:rsidP="00EC13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81</w:t>
            </w:r>
          </w:p>
        </w:tc>
        <w:tc>
          <w:tcPr>
            <w:tcW w:w="1915" w:type="dxa"/>
            <w:vAlign w:val="center"/>
          </w:tcPr>
          <w:p w14:paraId="2CBF9F85" w14:textId="5973A48C" w:rsidR="00152103" w:rsidRDefault="008A150A" w:rsidP="00EC13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1F2E13">
              <w:rPr>
                <w:b/>
                <w:bCs/>
              </w:rPr>
              <w:t>0</w:t>
            </w:r>
          </w:p>
        </w:tc>
        <w:tc>
          <w:tcPr>
            <w:tcW w:w="1916" w:type="dxa"/>
            <w:vAlign w:val="center"/>
          </w:tcPr>
          <w:p w14:paraId="4E578589" w14:textId="0AC01953" w:rsidR="00152103" w:rsidRPr="00152103" w:rsidRDefault="00152103" w:rsidP="00EC13FC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 =</w:t>
            </w:r>
            <w:r w:rsidR="00AE3E9D">
              <w:rPr>
                <w:b/>
                <w:bCs/>
                <w:i/>
                <w:iCs/>
              </w:rPr>
              <w:t xml:space="preserve"> 211</w:t>
            </w:r>
          </w:p>
        </w:tc>
      </w:tr>
    </w:tbl>
    <w:p w14:paraId="2A8D7F85" w14:textId="77777777" w:rsidR="00DD11F8" w:rsidRDefault="00DD11F8" w:rsidP="00E85F14">
      <w:pPr>
        <w:rPr>
          <w:b/>
          <w:bCs/>
        </w:rPr>
      </w:pPr>
    </w:p>
    <w:p w14:paraId="3F0BF567" w14:textId="1CF76A09" w:rsidR="00AE6F85" w:rsidRDefault="00AE6F85" w:rsidP="00AE6F85">
      <w:r>
        <w:t xml:space="preserve">Chi-Square = </w:t>
      </w:r>
      <w:r w:rsidR="00167FBD">
        <w:t>60.26</w:t>
      </w:r>
      <w:r>
        <w:t xml:space="preserve">; df = </w:t>
      </w:r>
      <w:r w:rsidR="006D21D3">
        <w:t>6</w:t>
      </w:r>
      <w:r>
        <w:t>; p</w:t>
      </w:r>
      <w:r w:rsidR="00114662">
        <w:t xml:space="preserve"> &lt; 0.00</w:t>
      </w:r>
      <w:r w:rsidR="00E54A85">
        <w:t>5</w:t>
      </w:r>
    </w:p>
    <w:p w14:paraId="35D774C2" w14:textId="1F96FF1D" w:rsidR="00AE6F85" w:rsidRDefault="00AE6F85" w:rsidP="00AE6F85">
      <w:r>
        <w:t xml:space="preserve">Cramer’s V = </w:t>
      </w:r>
      <w:r w:rsidR="006D21D3">
        <w:t>0.378</w:t>
      </w:r>
    </w:p>
    <w:p w14:paraId="737FDEDC" w14:textId="7ACA4F59" w:rsidR="00C7568C" w:rsidRDefault="008C2942" w:rsidP="00257E56">
      <w:pPr>
        <w:ind w:firstLine="720"/>
      </w:pPr>
      <w:r>
        <w:t>There is a definitive relationship between the sport played and academic progress as measured by APR</w:t>
      </w:r>
      <w:r w:rsidR="00FC42ED">
        <w:t xml:space="preserve">. This is shown by the chi-squared value being much larger than the </w:t>
      </w:r>
      <w:r w:rsidR="000D66C0">
        <w:t>critical value. Further, t</w:t>
      </w:r>
      <w:r w:rsidR="00726EB0">
        <w:t>he results of my analysis are statistically significant, as the</w:t>
      </w:r>
      <w:r w:rsidR="009A1064">
        <w:t xml:space="preserve"> p-value is less than </w:t>
      </w:r>
      <w:r w:rsidR="00136923">
        <w:t>0.005</w:t>
      </w:r>
      <w:r w:rsidR="00941D15">
        <w:t>. Using Cramer’s V, we can also see that there is at least moderate association between the variables</w:t>
      </w:r>
      <w:r>
        <w:t>.</w:t>
      </w:r>
      <w:r w:rsidR="00C7084F">
        <w:t xml:space="preserve"> When examining metric differences, </w:t>
      </w:r>
      <w:r w:rsidR="00D65FCB">
        <w:t>football</w:t>
      </w:r>
      <w:r w:rsidR="007A3BF2">
        <w:t xml:space="preserve"> players had the worst </w:t>
      </w:r>
      <w:r w:rsidR="00F038EE">
        <w:t>academic progress of the sports</w:t>
      </w:r>
      <w:r w:rsidR="00737A79">
        <w:t xml:space="preserve"> with most teams below average</w:t>
      </w:r>
      <w:r w:rsidR="006F137D">
        <w:t>, while cross country had the best</w:t>
      </w:r>
      <w:r w:rsidR="00737A79">
        <w:t>, with most teams above average</w:t>
      </w:r>
      <w:r w:rsidR="006F137D">
        <w:t>, w</w:t>
      </w:r>
      <w:r w:rsidR="00737A79">
        <w:t xml:space="preserve">hile basketball teams skewed towards </w:t>
      </w:r>
      <w:r w:rsidR="008B62C3">
        <w:t xml:space="preserve">being below average but still had high achieving outliers. Further, baseball teams tended towards </w:t>
      </w:r>
      <w:r w:rsidR="00C7568C">
        <w:t>having average APR scores, with some teams trending higher or lower.</w:t>
      </w:r>
    </w:p>
    <w:p w14:paraId="0658BDF2" w14:textId="414E2A6B" w:rsidR="00C7568C" w:rsidRPr="00CF7B79" w:rsidRDefault="00257E56" w:rsidP="00C7084F">
      <w:pPr>
        <w:ind w:firstLine="720"/>
      </w:pPr>
      <w:r>
        <w:t>My hypothesis that men’s revenue sports have lower APR’s than their non-revenue counterparts is heavily supported by my analysis.</w:t>
      </w:r>
      <w:r w:rsidR="0032258E">
        <w:t xml:space="preserve"> Especially interesting is that baseball teams tend to have average APR a</w:t>
      </w:r>
      <w:r w:rsidR="00682319">
        <w:t xml:space="preserve">nd are a non-revenue sport that offers significant post-college incentives, but are not revenue generating for collegiate institutions. In the future I would like to compare women’s sports </w:t>
      </w:r>
      <w:r w:rsidR="0088757E">
        <w:t xml:space="preserve">to see if there are similar differences between academic progression in non-revenue and what I call “prospective revenue” sports, such as basketball and volleyball. Additionally, </w:t>
      </w:r>
      <w:r w:rsidR="00A54BDA">
        <w:t xml:space="preserve">it would be interesting to compare solely based on NCAA division to see if the trends observed here continue in less lucrative </w:t>
      </w:r>
      <w:r w:rsidR="00B932C9">
        <w:t>competitions.</w:t>
      </w:r>
    </w:p>
    <w:sectPr w:rsidR="00C7568C" w:rsidRPr="00CF7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006A"/>
    <w:rsid w:val="00074EF6"/>
    <w:rsid w:val="000B4F27"/>
    <w:rsid w:val="000B5B08"/>
    <w:rsid w:val="000C02FC"/>
    <w:rsid w:val="000D66C0"/>
    <w:rsid w:val="00106B48"/>
    <w:rsid w:val="00114662"/>
    <w:rsid w:val="00124F6D"/>
    <w:rsid w:val="00136923"/>
    <w:rsid w:val="00146E61"/>
    <w:rsid w:val="00152103"/>
    <w:rsid w:val="00167FBD"/>
    <w:rsid w:val="00192960"/>
    <w:rsid w:val="001B041F"/>
    <w:rsid w:val="001E5319"/>
    <w:rsid w:val="001F2E13"/>
    <w:rsid w:val="001F73D7"/>
    <w:rsid w:val="00202D68"/>
    <w:rsid w:val="0023006A"/>
    <w:rsid w:val="00257E56"/>
    <w:rsid w:val="00260CBA"/>
    <w:rsid w:val="002661FF"/>
    <w:rsid w:val="00285736"/>
    <w:rsid w:val="002F2E01"/>
    <w:rsid w:val="0032258E"/>
    <w:rsid w:val="003278E3"/>
    <w:rsid w:val="00366393"/>
    <w:rsid w:val="003C21ED"/>
    <w:rsid w:val="003C78F7"/>
    <w:rsid w:val="004442DA"/>
    <w:rsid w:val="004448E8"/>
    <w:rsid w:val="004B113F"/>
    <w:rsid w:val="004C219E"/>
    <w:rsid w:val="004D5852"/>
    <w:rsid w:val="004E7AEE"/>
    <w:rsid w:val="00533B7F"/>
    <w:rsid w:val="00533C16"/>
    <w:rsid w:val="00550FC1"/>
    <w:rsid w:val="005827EA"/>
    <w:rsid w:val="005A4334"/>
    <w:rsid w:val="005B7FF5"/>
    <w:rsid w:val="006359A3"/>
    <w:rsid w:val="006821F9"/>
    <w:rsid w:val="00682319"/>
    <w:rsid w:val="0068440D"/>
    <w:rsid w:val="006A432F"/>
    <w:rsid w:val="006A745B"/>
    <w:rsid w:val="006D032D"/>
    <w:rsid w:val="006D21D3"/>
    <w:rsid w:val="006E7EA0"/>
    <w:rsid w:val="006F137D"/>
    <w:rsid w:val="00726EB0"/>
    <w:rsid w:val="007330F6"/>
    <w:rsid w:val="00737A79"/>
    <w:rsid w:val="007417F2"/>
    <w:rsid w:val="007A3BF2"/>
    <w:rsid w:val="00860279"/>
    <w:rsid w:val="0088757E"/>
    <w:rsid w:val="008A150A"/>
    <w:rsid w:val="008B1A9F"/>
    <w:rsid w:val="008B62C3"/>
    <w:rsid w:val="008C2942"/>
    <w:rsid w:val="008C33E5"/>
    <w:rsid w:val="00903B95"/>
    <w:rsid w:val="0091136F"/>
    <w:rsid w:val="00941D15"/>
    <w:rsid w:val="009A1064"/>
    <w:rsid w:val="009A2746"/>
    <w:rsid w:val="009A4F1F"/>
    <w:rsid w:val="00A1049C"/>
    <w:rsid w:val="00A53BBF"/>
    <w:rsid w:val="00A54BDA"/>
    <w:rsid w:val="00A814B7"/>
    <w:rsid w:val="00A8244F"/>
    <w:rsid w:val="00A85265"/>
    <w:rsid w:val="00AE3E9D"/>
    <w:rsid w:val="00AE6F85"/>
    <w:rsid w:val="00B2250C"/>
    <w:rsid w:val="00B65C03"/>
    <w:rsid w:val="00B932C9"/>
    <w:rsid w:val="00BB2517"/>
    <w:rsid w:val="00BC3E28"/>
    <w:rsid w:val="00BD277B"/>
    <w:rsid w:val="00BE35C2"/>
    <w:rsid w:val="00BE413B"/>
    <w:rsid w:val="00C0100A"/>
    <w:rsid w:val="00C16C2E"/>
    <w:rsid w:val="00C7084F"/>
    <w:rsid w:val="00C7568C"/>
    <w:rsid w:val="00CD530D"/>
    <w:rsid w:val="00CF7B79"/>
    <w:rsid w:val="00D1366F"/>
    <w:rsid w:val="00D35F3F"/>
    <w:rsid w:val="00D65FCB"/>
    <w:rsid w:val="00DA75FF"/>
    <w:rsid w:val="00DD11F8"/>
    <w:rsid w:val="00E3039B"/>
    <w:rsid w:val="00E54A85"/>
    <w:rsid w:val="00E651EF"/>
    <w:rsid w:val="00E72B87"/>
    <w:rsid w:val="00E85F14"/>
    <w:rsid w:val="00EC13FC"/>
    <w:rsid w:val="00EF3E8F"/>
    <w:rsid w:val="00F038EE"/>
    <w:rsid w:val="00F31CBE"/>
    <w:rsid w:val="00F5498E"/>
    <w:rsid w:val="00FA5561"/>
    <w:rsid w:val="00FA722A"/>
    <w:rsid w:val="00FC4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C3001"/>
  <w15:chartTrackingRefBased/>
  <w15:docId w15:val="{DE01A2A3-13B6-4E00-8336-BEDC6FA53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00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00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00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00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00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00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00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00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00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0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00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00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00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00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00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00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00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00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00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00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00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00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00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00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00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00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00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00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006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E7E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ff0e276-876c-4578-92bd-3bf007cd5ba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9A210309BC9D46B075E5C6E7111024" ma:contentTypeVersion="6" ma:contentTypeDescription="Create a new document." ma:contentTypeScope="" ma:versionID="5c88dd84b3489a611429a35207ab01b4">
  <xsd:schema xmlns:xsd="http://www.w3.org/2001/XMLSchema" xmlns:xs="http://www.w3.org/2001/XMLSchema" xmlns:p="http://schemas.microsoft.com/office/2006/metadata/properties" xmlns:ns3="3ff0e276-876c-4578-92bd-3bf007cd5bae" targetNamespace="http://schemas.microsoft.com/office/2006/metadata/properties" ma:root="true" ma:fieldsID="562207085bfb805ffb5fcf1d852c0a96" ns3:_="">
    <xsd:import namespace="3ff0e276-876c-4578-92bd-3bf007cd5ba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f0e276-876c-4578-92bd-3bf007cd5b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986EDC-686E-4961-BF09-D947B385D457}">
  <ds:schemaRefs>
    <ds:schemaRef ds:uri="http://www.w3.org/XML/1998/namespace"/>
    <ds:schemaRef ds:uri="3ff0e276-876c-4578-92bd-3bf007cd5bae"/>
    <ds:schemaRef ds:uri="http://schemas.microsoft.com/office/2006/documentManagement/types"/>
    <ds:schemaRef ds:uri="http://purl.org/dc/terms/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purl.org/dc/dcmitype/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7EC7D5C-865F-4234-B4C0-FE90C9F13B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C539D6-26DD-4B24-A8F2-F528F0699D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f0e276-876c-4578-92bd-3bf007cd5b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779</Words>
  <Characters>4445</Characters>
  <Application>Microsoft Office Word</Application>
  <DocSecurity>0</DocSecurity>
  <Lines>37</Lines>
  <Paragraphs>10</Paragraphs>
  <ScaleCrop>false</ScaleCrop>
  <Company/>
  <LinksUpToDate>false</LinksUpToDate>
  <CharactersWithSpaces>5214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James</dc:creator>
  <cp:keywords/>
  <dc:description/>
  <cp:lastModifiedBy>Team Avatar</cp:lastModifiedBy>
  <cp:revision>2</cp:revision>
  <dcterms:created xsi:type="dcterms:W3CDTF">2024-10-11T15:18:00Z</dcterms:created>
  <dcterms:modified xsi:type="dcterms:W3CDTF">2024-10-11T15:18:00Z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0x010100629A210309BC9D46B075E5C6E7111024</vt:lpwstr>
  </property>
</Properties>
</file>