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drawing>
          <wp:inline distT="0" distB="0" distL="0" distR="0">
            <wp:extent cx="161925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0"/>
        <w:jc w:val="center"/>
      </w:pPr>
      <w:r>
        <w:drawing>
          <wp:inline distT="0" distB="0" distL="0" distR="0">
            <wp:extent cx="653415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83"/>
        <w:gridCol w:w="140"/>
        <w:gridCol w:w="5083"/>
      </w:tblGrid>
      <w:tr>
        <w:tc>
          <w:tcPr>
            <w:tcW w:type="dxa" w:w="5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VISION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 build a trusted and inclusive ESG ecosystem that empowers MSMEs and industries to embrace sustainability, strengthen governance and create positive social impact.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5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8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MISSION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 enable a credible and inclusive ESG ecosystem through knowledge, partnerships and sustainable action.</w:t>
            </w:r>
          </w:p>
        </w:tc>
      </w:tr>
    </w:tbl>
    <w:p>
      <w:pPr>
        <w:spacing w:after="18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71"/>
        <w:gridCol w:w="140"/>
        <w:gridCol w:w="2471"/>
        <w:gridCol w:w="140"/>
        <w:gridCol w:w="2471"/>
        <w:gridCol w:w="140"/>
        <w:gridCol w:w="2471"/>
      </w:tblGrid>
      <w:tr>
        <w:tc>
          <w:tcPr>
            <w:tcW w:type="dxa" w:w="2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2025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Established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2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PAN INDIA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Presence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2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1-STOP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ESG Ecosystem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2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MSME → ENTERPRISE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Focus across scale</w:t>
            </w:r>
          </w:p>
        </w:tc>
      </w:tr>
    </w:tbl>
    <w:p>
      <w:pPr>
        <w:spacing w:after="22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320"/>
              <w:left w:type="dxa" w:w="320"/>
              <w:bottom w:type="dxa" w:w="320"/>
              <w:right w:type="dxa" w:w="320"/>
            </w:tcMar>
            <w:vAlign w:val="center"/>
          </w:tcPr>
          <w:p>
            <w:pPr>
              <w:spacing w:after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8A26"/>
                <w:sz w:val="17"/>
                <w:szCs w:val="17"/>
              </w:rPr>
              <w:t xml:space="preserve">OUR PROMISE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Move organisations from fragmented ESG action to an integrated pathway for capability, implementation, measurable performance and sustainable business value.</w:t>
            </w:r>
          </w:p>
        </w:tc>
      </w:tr>
    </w:tbl>
    <w:p>
      <w:r>
        <w:br w:type="page"/>
      </w:r>
    </w:p>
    <w:p>
      <w:pPr>
        <w:spacing w:after="9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2A44"/>
          <w:sz w:val="34"/>
          <w:szCs w:val="34"/>
        </w:rPr>
        <w:t xml:space="preserve">Why India ESG Alliance?</w:t>
      </w:r>
    </w:p>
    <w:p>
      <w:pPr>
        <w:spacing w:after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6660"/>
          <w:sz w:val="20"/>
          <w:szCs w:val="20"/>
        </w:rPr>
        <w:t xml:space="preserve">ESG is shifting from a compliance conversation to a business competitiveness conversation.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The Business Case for ESG</w:t>
            </w:r>
          </w:p>
        </w:tc>
      </w:tr>
    </w:tbl>
    <w:p>
      <w:pPr>
        <w:spacing w:after="16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42"/>
        <w:gridCol w:w="140"/>
        <w:gridCol w:w="3342"/>
        <w:gridCol w:w="140"/>
        <w:gridCol w:w="3342"/>
      </w:tblGrid>
      <w:tr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MARKET ACCESS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ESG readiness increasingly influences supplier qualification, export markets and participation in global value chains.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8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BUSINESS PERFORMANCE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Sustainability can improve resource efficiency, resilience, risk management, innovation and revenue opportunities.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B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TRUST &amp; CAPITAL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Credible ESG performance strengthens buyer, investor, lender and stakeholder confidence.</w:t>
            </w:r>
          </w:p>
        </w:tc>
      </w:tr>
    </w:tbl>
    <w:p>
      <w:pPr>
        <w:spacing w:after="30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2A44"/>
          <w:sz w:val="24"/>
          <w:szCs w:val="24"/>
        </w:rPr>
        <w:t xml:space="preserve">The Gap We Bridge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660"/>
          <w:sz w:val="19"/>
          <w:szCs w:val="19"/>
        </w:rPr>
        <w:t xml:space="preserve">India already has ESG consultants, technology providers, academic institutions, auditors, financial institutions and development organisations. The challenge is connecting capabilities effectively.</w:t>
      </w:r>
    </w:p>
    <w:p>
      <w:pPr>
        <w:spacing w:after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660"/>
          <w:sz w:val="19"/>
          <w:szCs w:val="19"/>
        </w:rPr>
        <w:t xml:space="preserve">IEA acts as the connective platform — linking business demand with knowledge, expertise, technology, assessment, reporting and implementation support.</w:t>
      </w:r>
    </w:p>
    <w:p>
      <w:pPr>
        <w:spacing w:after="0" w:before="0"/>
        <w:jc w:val="center"/>
      </w:pPr>
      <w:r>
        <w:drawing>
          <wp:inline distT="0" distB="0" distL="0" distR="0">
            <wp:extent cx="653415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A Continuous ESG Journey</w:t>
            </w:r>
          </w:p>
        </w:tc>
      </w:tr>
    </w:tbl>
    <w:p>
      <w:pPr>
        <w:spacing w:after="200"/>
      </w:pPr>
    </w:p>
    <w:p>
      <w:pPr>
        <w:spacing w:after="300" w:before="0"/>
        <w:jc w:val="center"/>
      </w:pPr>
      <w:r>
        <w:drawing>
          <wp:inline distT="0" distB="0" distL="0" distR="0">
            <wp:extent cx="65341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83"/>
        <w:gridCol w:w="140"/>
        <w:gridCol w:w="5083"/>
      </w:tblGrid>
      <w:tr>
        <w:tc>
          <w:tcPr>
            <w:tcW w:type="dxa" w:w="5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 A ONE-TIME REPORT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IEA treats ESG as a continuous process of organisational improvement.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5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8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FROM QUESTION TO VALUE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Shift the question from “How do we comply?” to “How can ESG help us grow?”</w:t>
            </w:r>
          </w:p>
        </w:tc>
      </w:tr>
    </w:tbl>
    <w:p>
      <w:pPr>
        <w:spacing w:after="340"/>
      </w:pPr>
    </w:p>
    <w:p>
      <w:pPr>
        <w:spacing w:after="9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2A44"/>
          <w:sz w:val="34"/>
          <w:szCs w:val="34"/>
        </w:rPr>
        <w:t xml:space="preserve">Solutions Built Around Action</w:t>
      </w:r>
    </w:p>
    <w:p>
      <w:pPr>
        <w:spacing w:after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660"/>
          <w:sz w:val="19"/>
          <w:szCs w:val="19"/>
        </w:rPr>
        <w:t xml:space="preserve">Integrated capabilities that help organisations understand, assess, implement, report, improve and grow.</w:t>
      </w:r>
    </w:p>
    <w:p>
      <w:pPr>
        <w:spacing w:after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660"/>
          <w:sz w:val="19"/>
          <w:szCs w:val="19"/>
        </w:rPr>
        <w:t xml:space="preserve">IEA combines capacity building, diagnostics, advisory, technology, reporting, assessment, research, innovation and partnerships through a connected platform.</w:t>
      </w:r>
    </w:p>
    <w:p>
      <w:pPr>
        <w:spacing w:after="0" w:before="0"/>
        <w:jc w:val="center"/>
      </w:pPr>
      <w:r>
        <w:drawing>
          <wp:inline distT="0" distB="0" distL="0" distR="0">
            <wp:extent cx="561975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Our Solutions</w:t>
            </w:r>
          </w:p>
        </w:tc>
      </w:tr>
    </w:tbl>
    <w:p>
      <w:pPr>
        <w:spacing w:after="160"/>
      </w:pPr>
    </w:p>
    <w:tbl>
      <w:tblPr>
        <w:tblW w:type="dxa" w:w="10306"/>
        <w:tblBorders>
          <w:top w:val="single" w:color="DCE3E0" w:sz="4"/>
          <w:left w:val="single" w:color="DCE3E0" w:sz="4"/>
          <w:bottom w:val="single" w:color="DCE3E0" w:sz="4"/>
          <w:right w:val="single" w:color="DCE3E0" w:sz="4"/>
          <w:insideH w:val="single" w:color="DCE3E0" w:sz="4"/>
          <w:insideV w:val="single" w:color="DCE3E0" w:sz="4"/>
        </w:tblBorders>
      </w:tblPr>
      <w:tblGrid>
        <w:gridCol w:w="2600"/>
        <w:gridCol w:w="4900"/>
        <w:gridCol w:w="2806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PILLAR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WHAT IT COVERS</w:t>
            </w:r>
          </w:p>
        </w:tc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OUTCOMES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7F82"/>
                <w:sz w:val="20"/>
                <w:szCs w:val="20"/>
              </w:rPr>
              <w:t xml:space="preserve">01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CAPACITY BUILDING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Board &amp; CXO ESG leadership • Foundational ESG programmes • Sector-specific learning • Workshops • Webinars • Practitioner programmes</w:t>
            </w:r>
          </w:p>
        </w:tc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A6660"/>
                <w:sz w:val="15"/>
                <w:szCs w:val="15"/>
              </w:rPr>
              <w:t xml:space="preserve">Leadership • Skills • Internal capability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7F82"/>
                <w:sz w:val="20"/>
                <w:szCs w:val="20"/>
              </w:rPr>
              <w:t xml:space="preserve">02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ESG REPORTING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BRSR &amp; BRSR Core support • Framework alignment • Reporting gap analysis • ESG documentation • Data-system design • Technology-enabled reporting</w:t>
            </w:r>
          </w:p>
        </w:tc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A6660"/>
                <w:sz w:val="15"/>
                <w:szCs w:val="15"/>
              </w:rPr>
              <w:t xml:space="preserve">Data • Disclosure • Reporting readiness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7F82"/>
                <w:sz w:val="20"/>
                <w:szCs w:val="20"/>
              </w:rPr>
              <w:t xml:space="preserve">03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ASSESSMENT &amp; ASSURANCE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ESG diagnostics • Maturity assessments • Compliance-readiness • Data verification • Internal audit facilitation</w:t>
            </w:r>
          </w:p>
        </w:tc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A6660"/>
                <w:sz w:val="15"/>
                <w:szCs w:val="15"/>
              </w:rPr>
              <w:t xml:space="preserve">Baseline • Gaps • Improvement priorities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7F82"/>
                <w:sz w:val="20"/>
                <w:szCs w:val="20"/>
              </w:rPr>
              <w:t xml:space="preserve">04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BUSINESS &amp; INNOVATION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Expert clinics • Advisory support • Pilot projects • Innovation initiatives • Technology-enabled ESG interventions</w:t>
            </w:r>
          </w:p>
        </w:tc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A6660"/>
                <w:sz w:val="15"/>
                <w:szCs w:val="15"/>
              </w:rPr>
              <w:t xml:space="preserve">Efficiency • Resilience • Market opportunity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7F82"/>
                <w:sz w:val="20"/>
                <w:szCs w:val="20"/>
              </w:rPr>
              <w:t xml:space="preserve">05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POLICY &amp; ECOSYSTEM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15"/>
                <w:szCs w:val="15"/>
              </w:rPr>
              <w:t xml:space="preserve">Government capacity building • MSME transition • Industry engagement • Sustainability programmes • Research • Policy dialogue</w:t>
            </w:r>
          </w:p>
        </w:tc>
        <w:tc>
          <w:tcPr>
            <w:tcW w:type="dxa" w:w="2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A6660"/>
                <w:sz w:val="15"/>
                <w:szCs w:val="15"/>
              </w:rPr>
              <w:t xml:space="preserve">Scale • Partnerships • System change</w:t>
            </w:r>
          </w:p>
        </w:tc>
      </w:tr>
    </w:tbl>
    <w:p>
      <w:pPr>
        <w:spacing w:after="320"/>
      </w:pPr>
    </w:p>
    <w:p>
      <w:pPr>
        <w:spacing w:after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2A44"/>
          <w:sz w:val="19"/>
          <w:szCs w:val="19"/>
        </w:rPr>
        <w:t xml:space="preserve">MSME-FIRST DESIGN.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B2B2B"/>
          <w:sz w:val="19"/>
          <w:szCs w:val="19"/>
        </w:rPr>
        <w:t xml:space="preserve">Practical, affordable and sector-relevant ESG solutions are designed around MSME realities — linking ESG adoption to operational efficiency, buyer readiness, export competitiveness, risk reduction, stronger governance and access to expertise and technology.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42"/>
        <w:gridCol w:w="140"/>
        <w:gridCol w:w="3342"/>
        <w:gridCol w:w="140"/>
        <w:gridCol w:w="3342"/>
      </w:tblGrid>
      <w:tr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EFFICIENCY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Resource &amp; energy efficiency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8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RESILIENCE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Climate &amp; business resilience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B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BUYER READY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Responsible supply chains</w:t>
            </w:r>
          </w:p>
        </w:tc>
      </w:tr>
    </w:tbl>
    <w:p>
      <w:pPr>
        <w:spacing w:after="14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42"/>
        <w:gridCol w:w="140"/>
        <w:gridCol w:w="3342"/>
        <w:gridCol w:w="140"/>
        <w:gridCol w:w="3342"/>
      </w:tblGrid>
      <w:tr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B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EXPORT READY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Global market expectations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8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GOVERNANCE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Stronger systems &amp; decisions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GROWTH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Sustainable business value</w:t>
            </w:r>
          </w:p>
        </w:tc>
      </w:tr>
    </w:tbl>
    <w:p>
      <w:pPr>
        <w:spacing w:after="36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380"/>
              <w:left w:type="dxa" w:w="340"/>
              <w:bottom w:type="dxa" w:w="380"/>
              <w:right w:type="dxa" w:w="340"/>
            </w:tcMar>
            <w:vAlign w:val="center"/>
          </w:tcPr>
          <w:p>
            <w:pPr>
              <w:spacing w:after="1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BUILD THE ESG ADVANTAGE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 trusted ecosystem for corporates, MSMEs, government, investors, industry, academia, experts and technology providers.</w:t>
            </w:r>
          </w:p>
        </w:tc>
      </w:tr>
    </w:tbl>
    <w:p>
      <w:pPr>
        <w:spacing w:after="32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Values Across the Ecosystems</w:t>
            </w:r>
          </w:p>
        </w:tc>
      </w:tr>
    </w:tbl>
    <w:p>
      <w:pPr>
        <w:spacing w:after="18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42"/>
        <w:gridCol w:w="140"/>
        <w:gridCol w:w="3342"/>
        <w:gridCol w:w="140"/>
        <w:gridCol w:w="3342"/>
      </w:tblGrid>
      <w:tr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CORPORATES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Strengthen ESG capability, reporting, risk management, sustainability performance and long-term competitiveness.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8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MSMEs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Build ESG readiness, responsible supply-chain participation, market opportunities and sustainable growth.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B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GOVERNMENT &amp; DEVELOPMENT PARTNERS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Use a credible platform for scalable ESG, climate and enterprise-development programmes.</w:t>
            </w:r>
          </w:p>
        </w:tc>
      </w:tr>
    </w:tbl>
    <w:p>
      <w:pPr>
        <w:spacing w:after="14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42"/>
        <w:gridCol w:w="140"/>
        <w:gridCol w:w="3342"/>
        <w:gridCol w:w="140"/>
        <w:gridCol w:w="3342"/>
      </w:tblGrid>
      <w:tr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B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INDUSTRY ASSOCIATIONS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Access sector-specific knowledge, capability building and member engagement solutions.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8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EXPERTS &amp; TECHNOLOGY PROVIDERS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Connect specialised solutions with enterprises seeking ESG capabilities.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ACADEMIC &amp; KNOWLEDGE INSTITUTIONS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Create applied research, knowledge partnerships and policy dialogue.</w:t>
            </w:r>
          </w:p>
        </w:tc>
      </w:tr>
    </w:tbl>
    <w:p>
      <w:pPr>
        <w:spacing w:after="36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Programmes &amp; Initiatives</w:t>
            </w:r>
          </w:p>
        </w:tc>
      </w:tr>
    </w:tbl>
    <w:p>
      <w:pPr>
        <w:spacing w:after="18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42"/>
        <w:gridCol w:w="140"/>
        <w:gridCol w:w="3342"/>
        <w:gridCol w:w="140"/>
        <w:gridCol w:w="3342"/>
      </w:tblGrid>
      <w:tr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8A26"/>
                <w:sz w:val="17"/>
                <w:szCs w:val="17"/>
              </w:rPr>
              <w:t xml:space="preserve">01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ESG compliance training for MSMEs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8A26"/>
                <w:sz w:val="17"/>
                <w:szCs w:val="17"/>
              </w:rPr>
              <w:t xml:space="preserve">02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Board &amp; CXO ESG Leadership Programmes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8A26"/>
                <w:sz w:val="17"/>
                <w:szCs w:val="17"/>
              </w:rPr>
              <w:t xml:space="preserve">03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Two-day business development plan &amp; visioning programmes</w:t>
            </w:r>
          </w:p>
        </w:tc>
      </w:tr>
      <w:tr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8A26"/>
                <w:sz w:val="17"/>
                <w:szCs w:val="17"/>
              </w:rPr>
              <w:t xml:space="preserve">04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Sector-specific ESG modules for MSMEs and industries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8A26"/>
                <w:sz w:val="17"/>
                <w:szCs w:val="17"/>
              </w:rPr>
              <w:t xml:space="preserve">05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ESG diagnostics and strategy development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8A26"/>
                <w:sz w:val="17"/>
                <w:szCs w:val="17"/>
              </w:rPr>
              <w:t xml:space="preserve">06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Design Thinking for revenue and sustainable growth</w:t>
            </w:r>
          </w:p>
        </w:tc>
      </w:tr>
      <w:tr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8A26"/>
                <w:sz w:val="17"/>
                <w:szCs w:val="17"/>
              </w:rPr>
              <w:t xml:space="preserve">07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Research, policy advisory, M&amp;E and programme management support to governments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8A26"/>
                <w:sz w:val="17"/>
                <w:szCs w:val="17"/>
              </w:rPr>
              <w:t xml:space="preserve">08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MSME exporter programmes and India MSMEs Forum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8A26"/>
                <w:sz w:val="17"/>
                <w:szCs w:val="17"/>
              </w:rPr>
              <w:t xml:space="preserve">09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15"/>
                <w:szCs w:val="15"/>
              </w:rPr>
              <w:t xml:space="preserve">National and state-level ESG summits and one-day ESG foundation trainings</w:t>
            </w:r>
          </w:p>
        </w:tc>
      </w:tr>
    </w:tbl>
    <w:p>
      <w:pPr>
        <w:spacing w:after="320"/>
      </w:pP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42"/>
        <w:gridCol w:w="140"/>
        <w:gridCol w:w="3342"/>
        <w:gridCol w:w="140"/>
        <w:gridCol w:w="3342"/>
      </w:tblGrid>
      <w:tr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RESEARCH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Applied research • sector studies • stakeholder consultation • policy dialogue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8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CREDIBILITY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Credibility • Expertise • Quality • Independence • Practical impact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FB2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DIGITAL ECOSYSTEM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Technology provides scale • Experts provide depth • Partnerships provide reach</w:t>
            </w:r>
          </w:p>
        </w:tc>
      </w:tr>
    </w:tbl>
    <w:p>
      <w:pPr>
        <w:spacing w:after="360"/>
      </w:pPr>
    </w:p>
    <w:p>
      <w:pPr>
        <w:spacing w:after="13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2A44"/>
          <w:sz w:val="26"/>
          <w:szCs w:val="26"/>
        </w:rPr>
        <w:t xml:space="preserve">Ready to Turn ESG into Business Value?</w:t>
      </w:r>
    </w:p>
    <w:p>
      <w:pPr>
        <w:spacing w:after="3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660"/>
          <w:sz w:val="19"/>
          <w:szCs w:val="19"/>
        </w:rPr>
        <w:t xml:space="preserve">Partner with India ESG Alliance to understand, assess, build capability, implement, measure, report, improve, innovate and grow.</w:t>
      </w:r>
    </w:p>
    <w:tbl>
      <w:tblPr>
        <w:tblW w:type="dxa" w:w="10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9"/>
        <w:gridCol w:w="4947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44" w:color="auto" w:val="clear"/>
            <w:tcMar>
              <w:top w:type="dxa" w:w="320"/>
              <w:left w:type="dxa" w:w="320"/>
              <w:bottom w:type="dxa" w:w="320"/>
              <w:right w:type="dxa" w:w="260"/>
            </w:tcMar>
            <w:vAlign w:val="center"/>
          </w:tcPr>
          <w:p>
            <w:pPr>
              <w:spacing w:after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INDIA ESG ALLIANCE (IEA)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One-Stop Digital Ecosystem for ESG, Sustainability &amp; Responsible Business Growth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4B3A" w:color="auto" w:val="clear"/>
            <w:tcMar>
              <w:top w:type="dxa" w:w="320"/>
              <w:left w:type="dxa" w:w="260"/>
              <w:bottom w:type="dxa" w:w="320"/>
              <w:right w:type="dxa" w:w="320"/>
            </w:tcMar>
            <w:vAlign w:val="center"/>
          </w:tcPr>
          <w:p>
            <w:pPr>
              <w:spacing w:after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8A26"/>
                <w:sz w:val="15"/>
                <w:szCs w:val="15"/>
              </w:rPr>
              <w:t xml:space="preserve">CONNECT WITH US</w:t>
            </w:r>
          </w:p>
          <w:p>
            <w:pPr>
              <w:spacing w:after="9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indiaesgalliance@gmail.com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Unit No. 8, P3, J Wing, Rustomjee Azziano Road, Majhiwada, Thane West, Maharashtra – 400601, India</w:t>
            </w:r>
          </w:p>
        </w:tc>
      </w:tr>
    </w:tbl>
    <w:p>
      <w:pPr>
        <w:spacing w:after="380"/>
      </w:pPr>
    </w:p>
    <w:tbl>
      <w:tblPr>
        <w:tblW w:type="dxa" w:w="10306"/>
        <w:tblBorders>
          <w:top w:val="single" w:color="DCE3E0" w:sz="4"/>
          <w:left w:val="single" w:color="DCE3E0" w:sz="4"/>
          <w:bottom w:val="single" w:color="DCE3E0" w:sz="4"/>
          <w:right w:val="single" w:color="DCE3E0" w:sz="4"/>
          <w:insideH w:val="single" w:color="DCE3E0" w:sz="4"/>
          <w:insideV w:val="single" w:color="DCE3E0" w:sz="4"/>
        </w:tblBorders>
      </w:tblPr>
      <w:tblGrid>
        <w:gridCol w:w="103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7" w:color="auto" w:val="clear"/>
            <w:tcMar>
              <w:top w:type="dxa" w:w="420"/>
              <w:left w:type="dxa" w:w="300"/>
              <w:bottom w:type="dxa" w:w="340"/>
              <w:right w:type="dxa" w:w="300"/>
            </w:tcMar>
            <w:vAlign w:val="center"/>
          </w:tcPr>
          <w:p>
            <w:pPr>
              <w:spacing w:after="1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21"/>
                <w:szCs w:val="21"/>
              </w:rPr>
              <w:t xml:space="preserve">ESG WITH BUSINESS GROWTH</w:t>
            </w:r>
          </w:p>
          <w:p>
            <w:pPr>
              <w:spacing w:after="1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7F82"/>
                <w:sz w:val="21"/>
                <w:szCs w:val="21"/>
              </w:rPr>
              <w:t xml:space="preserve">SUSTAINABILITY WITH COMPETITIVENESS</w:t>
            </w:r>
          </w:p>
          <w:p>
            <w:pPr>
              <w:spacing w:after="1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2A44"/>
                <w:sz w:val="21"/>
                <w:szCs w:val="21"/>
              </w:rPr>
              <w:t xml:space="preserve">RESPONSIBLE BUSINESS WITH LONG-TERM VALUE</w:t>
            </w:r>
          </w:p>
        </w:tc>
      </w:tr>
    </w:tbl>
    <w:p>
      <w:pPr>
        <w:spacing w:after="420"/>
      </w:pPr>
    </w:p>
    <w:p>
      <w:pPr>
        <w:spacing w:after="0" w:before="0"/>
        <w:jc w:val="center"/>
      </w:pPr>
      <w:r>
        <w:drawing>
          <wp:inline distT="0" distB="0" distL="0" distR="0">
            <wp:extent cx="123825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0" w:sz="4" w:space="8"/>
      </w:pBdr>
      <w:spacing w:before="100"/>
      <w:jc w:val="center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5A6660"/>
        <w:sz w:val="14"/>
        <w:szCs w:val="14"/>
      </w:rPr>
      <w:t xml:space="preserve">INDIA ESG ALLIANCE  |  ESG • SUSTAINABILITY • RESPONSIBLE GROWTH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9ccefcda544448d942e1897be0207b16dd4a0e6.png"/><Relationship Id="rId9" Type="http://schemas.openxmlformats.org/officeDocument/2006/relationships/image" Target="media/33e46f3dde4c23111857b564617bf2d66193b995.png"/><Relationship Id="rId10" Type="http://schemas.openxmlformats.org/officeDocument/2006/relationships/image" Target="media/5cf88dce0253ee03ebb8ff61fed4f732879f3dc6.png"/><Relationship Id="rId11" Type="http://schemas.openxmlformats.org/officeDocument/2006/relationships/image" Target="media/936cb4837c66a03faf03f9bf7c9d17daa49b0c7d.png"/><Relationship Id="rId12" Type="http://schemas.openxmlformats.org/officeDocument/2006/relationships/image" Target="media/89023b712efe7388e9c5026b15f7a60a0b7ca0a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2026-09-10T10:01:00.962Z</dcterms:created>
  <dcterms:modified xsi:type="dcterms:W3CDTF">2026-09-10T10:01:00.962Z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