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he-archive-and-its-silences"/>
    <w:p>
      <w:pPr>
        <w:pStyle w:val="Heading1"/>
      </w:pPr>
      <w:r>
        <w:t xml:space="preserve">The Archive and Its Silences</w:t>
      </w:r>
    </w:p>
    <w:bookmarkStart w:id="13" w:name="reading-against-the-grain"/>
    <w:p>
      <w:pPr>
        <w:pStyle w:val="Heading2"/>
      </w:pPr>
      <w:r>
        <w:t xml:space="preserve">Reading against the grain</w:t>
      </w:r>
    </w:p>
    <w:p>
      <w:pPr>
        <w:pStyle w:val="FirstParagraph"/>
      </w:pPr>
      <w:r>
        <w:t xml:space="preserve">Colonial records were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neutral documents. As Stoler argues, the archive is a site of knowledge production </w:t>
      </w:r>
      <w:r>
        <w:fldChar w:fldCharType="begin"/>
      </w:r>
      <w:r>
        <w:instrText xml:space="preserve"> ADDIN ZOTERO_ITEM CSL_CITATION {"citationID": "abcd1234", "properties": {"formattedCitation": "(Stoler 2009, 47)", "plainCitation": "(Stoler 2009, 47)", "noteIndex": 0}, "citationItems": [{"id": 101, "uris": ["http://zotero.org/users/local/abc123/items/ABCD1234"], "itemData": {"type": "book", "title": "Along the Archival Grain: Epistemic Anxieties and Colonial Common Sense", "author": [{"family": "Stoler", "given": "Ann Laura"}], "issued": {"date-parts": [["2009"]]}, "publisher": "Princeton University Press", "publisher-place": "Princeton", "id": 101}, "locator": "47", "label": "page"}], "schema": "https://github.com/citation-style-language/schema/raw/master/csl-citation.json"} </w:instrText>
      </w:r>
      <w:r>
        <w:fldChar w:fldCharType="separate"/>
      </w:r>
      <w:r>
        <w:t xml:space="preserve">(Stoler 2009, 47)</w:t>
      </w:r>
      <w:r>
        <w:fldChar w:fldCharType="end"/>
      </w:r>
      <w:r>
        <w:t xml:space="preserve">, and the historian’s task is to read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its grain before reading against it.</w:t>
      </w:r>
      <w:r>
        <w:rPr>
          <w:rStyle w:val="FootnoteReference"/>
        </w:rPr>
        <w:footnoteReference w:id="9"/>
      </w:r>
    </w:p>
    <w:p>
      <w:pPr>
        <w:pStyle w:val="BodyText"/>
      </w:pPr>
      <w:r>
        <w:t xml:space="preserve">Trouillot made a related point about the production of history itself </w:t>
      </w:r>
      <w:r>
        <w:fldChar w:fldCharType="begin"/>
      </w:r>
      <w:r>
        <w:instrText xml:space="preserve"> ADDIN ZOTERO_ITEM CSL_CITATION {"citationID": "efgh5678", "properties": {"formattedCitation": "(Trouillot 1995)", "plainCitation": "(Trouillot 1995)", "noteIndex": 0}, "citationItems": [{"id": 102, "uris": ["http://zotero.org/users/local/abc123/items/EFGH5678"], "itemData": {"type": "book", "title": "Silencing the Past: Power and the Production of History", "author": [{"family": "Trouillot", "given": "Michel-Rolph"}], "issued": {"date-parts": [["1995"]]}, "publisher": "Beacon Press", "publisher-place": "Boston", "id": 102}}], "schema": "https://github.com/citation-style-language/schema/raw/master/csl-citation.json"} </w:instrText>
      </w:r>
      <w:r>
        <w:fldChar w:fldCharType="separate"/>
      </w:r>
      <w:r>
        <w:t xml:space="preserve">(Trouillot 1995)</w:t>
      </w:r>
      <w:r>
        <w:fldChar w:fldCharType="end"/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Colonial Office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1820–1910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Missionary Society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1850–1930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</w:tr>
    </w:tbl>
    <w:p>
      <w:pPr>
        <w:pStyle w:val="CaptionedFigure"/>
      </w:pPr>
      <w:r>
        <w:drawing>
          <wp:inline>
            <wp:extent cx="1524000" cy="762000"/>
            <wp:effectExtent b="0" l="0" r="0" t="0"/>
            <wp:docPr descr="Holdings by archive." title="" id="11" name="Picture"/>
            <a:graphic>
              <a:graphicData uri="http://schemas.openxmlformats.org/drawingml/2006/picture">
                <pic:pic>
                  <pic:nvPicPr>
                    <pic:cNvPr descr="archiv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Holdings by archive.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distinction is developed further in Chapter 2.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2026-10-03T13:48:30Z</dcterms:created>
  <dcterms:modified xsi:type="dcterms:W3CDTF">2026-10-03T13:48:30Z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