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Soil Microbial Diversity Predicts Drought Resilience</w:t>
      </w:r>
    </w:p>
    <w:p>
      <w:pPr>
        <w:pStyle w:val="Heading1"/>
      </w:pPr>
      <w:r>
        <w:t xml:space="preserve">Abstract</w:t>
      </w:r>
    </w:p>
    <w:p>
      <w:r>
        <w:t xml:space="preserve">Drought is an increasing threat to olive production across the Mediterranean basin.</w:t>
      </w:r>
    </w:p>
    <w:p>
      <w:pPr>
        <w:pStyle w:val="Heading1"/>
      </w:pPr>
      <w:r>
        <w:t xml:space="preserve">Introduction</w:t>
      </w:r>
    </w:p>
    <w:p>
      <w:r>
        <w:t xml:space="preserve">Olive cultivation covers more than ten million hectares around the Mediterranean.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basedOn w:val="Normal"/>
    <w:rPr>
      <w:b/>
      <w:sz w:val="40"/>
    </w:rPr>
  </w:style>
  <w:style w:type="paragraph" w:styleId="Heading1">
    <w:name w:val="heading 1"/>
    <w:basedOn w:val="Normal"/>
    <w:pPr>
      <w:outlineLvl w:val="0"/>
    </w:pPr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