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left"/>
      </w:pPr>
      <w:r>
        <w:drawing>
          <wp:inline xmlns:a="http://schemas.openxmlformats.org/drawingml/2006/main" xmlns:pic="http://schemas.openxmlformats.org/drawingml/2006/picture">
            <wp:extent cx="1143000" cy="971951"/>
            <wp:docPr id="1" name="Picture 1"/>
            <wp:cNvGraphicFramePr>
              <a:graphicFrameLocks noChangeAspect="1"/>
            </wp:cNvGraphicFramePr>
            <a:graphic>
              <a:graphicData uri="http://schemas.openxmlformats.org/drawingml/2006/picture">
                <pic:pic>
                  <pic:nvPicPr>
                    <pic:cNvPr id="0" name="educare-leads-logo.png"/>
                    <pic:cNvPicPr/>
                  </pic:nvPicPr>
                  <pic:blipFill>
                    <a:blip r:embed="rId11"/>
                    <a:stretch>
                      <a:fillRect/>
                    </a:stretch>
                  </pic:blipFill>
                  <pic:spPr>
                    <a:xfrm>
                      <a:off x="0" y="0"/>
                      <a:ext cx="1143000" cy="971951"/>
                    </a:xfrm>
                    <a:prstGeom prst="rect"/>
                  </pic:spPr>
                </pic:pic>
              </a:graphicData>
            </a:graphic>
          </wp:inline>
        </w:drawing>
      </w:r>
    </w:p>
    <w:p>
      <w:pPr>
        <w:spacing w:before="0" w:after="80"/>
      </w:pPr>
      <w:r>
        <w:rPr>
          <w:rFonts w:ascii="Calibri" w:hAnsi="Calibri"/>
          <w:b/>
          <w:color w:val="000000"/>
          <w:sz w:val="44"/>
        </w:rPr>
        <w:t>INDEPENDENT CONTRACTOR COMMISSION AGREEMENT</w:t>
      </w:r>
    </w:p>
    <w:p>
      <w:pPr>
        <w:spacing w:after="240"/>
        <w:pBdr>
          <w:bottom w:val="single" w:sz="8" w:space="8" w:color="D9D9D9"/>
        </w:pBdr>
      </w:pPr>
      <w:r>
        <w:rPr>
          <w:rFonts w:ascii="Calibri" w:hAnsi="Calibri"/>
          <w:b/>
          <w:color w:val="555555"/>
          <w:sz w:val="22"/>
        </w:rPr>
        <w:t>EduCare Leads and Andre Johnson | Effective August 6, 2026</w:t>
      </w:r>
    </w:p>
    <w:p>
      <w:pPr>
        <w:spacing w:before="0" w:after="200" w:line="264" w:lineRule="auto"/>
      </w:pPr>
      <w:r>
        <w:rPr>
          <w:rFonts w:ascii="Calibri" w:hAnsi="Calibri"/>
        </w:rPr>
        <w:t>This Independent Contractor Commission Agreement (the "Agreement") is entered into as of August 6, 2026 (the "Effective Date") by and between the parties identified below.</w:t>
      </w:r>
    </w:p>
    <w:tbl>
      <w:tblPr>
        <w:tblW w:type="dxa" w:w="9360"/>
        <w:jc w:val="left"/>
        <w:tblLayout w:type="fixed"/>
        <w:tblLook w:firstColumn="1" w:firstRow="1" w:lastColumn="0" w:lastRow="0" w:noHBand="0" w:noVBand="1" w:val="04A0"/>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c>
          <w:tcPr>
            <w:tcW w:type="dxa" w:w="4680"/>
            <w:vAlign w:val="center"/>
            <w:tcMar>
              <w:top w:w="80" w:type="dxa"/>
              <w:bottom w:w="80" w:type="dxa"/>
              <w:start w:w="120" w:type="dxa"/>
              <w:end w:w="120" w:type="dxa"/>
            </w:tcMar>
            <w:shd w:fill="F2F4F7"/>
          </w:tcPr>
          <w:p>
            <w:pPr>
              <w:spacing w:after="0"/>
            </w:pPr>
            <w:r>
              <w:rPr>
                <w:rFonts w:ascii="Calibri" w:hAnsi="Calibri"/>
                <w:b/>
              </w:rPr>
              <w:t>Company ("EduCare Leads")</w:t>
            </w:r>
          </w:p>
        </w:tc>
        <w:tc>
          <w:tcPr>
            <w:tcW w:type="dxa" w:w="4680"/>
            <w:vAlign w:val="center"/>
            <w:tcMar>
              <w:top w:w="80" w:type="dxa"/>
              <w:bottom w:w="80" w:type="dxa"/>
              <w:start w:w="120" w:type="dxa"/>
              <w:end w:w="120" w:type="dxa"/>
            </w:tcMar>
            <w:shd w:fill="F2F4F7"/>
          </w:tcPr>
          <w:p>
            <w:pPr>
              <w:spacing w:after="0"/>
            </w:pPr>
            <w:r>
              <w:rPr>
                <w:rFonts w:ascii="Calibri" w:hAnsi="Calibri"/>
                <w:b/>
              </w:rPr>
              <w:t>Contractor ("Contractor")</w:t>
            </w:r>
          </w:p>
        </w:tc>
      </w:tr>
      <w:tr>
        <w:tc>
          <w:tcPr>
            <w:tcW w:type="dxa" w:w="4680"/>
            <w:vAlign w:val="center"/>
            <w:tcMar>
              <w:top w:w="80" w:type="dxa"/>
              <w:bottom w:w="80" w:type="dxa"/>
              <w:start w:w="120" w:type="dxa"/>
              <w:end w:w="120" w:type="dxa"/>
            </w:tcMar>
          </w:tcPr>
          <w:p>
            <w:pPr>
              <w:spacing w:after="0"/>
            </w:pPr>
            <w:r>
              <w:rPr>
                <w:rFonts w:ascii="Calibri" w:hAnsi="Calibri"/>
              </w:rPr>
              <w:t>9503-3692 Quebec Inc., operating as EduCare Leads</w:t>
            </w:r>
            <w:r>
              <w:br/>
            </w:r>
            <w:r>
              <w:rPr>
                <w:rFonts w:ascii="Calibri" w:hAnsi="Calibri"/>
              </w:rPr>
              <w:t>Telephone: +1 (438) 885-2056</w:t>
            </w:r>
          </w:p>
        </w:tc>
        <w:tc>
          <w:tcPr>
            <w:tcW w:type="dxa" w:w="4680"/>
            <w:vAlign w:val="center"/>
            <w:tcMar>
              <w:top w:w="80" w:type="dxa"/>
              <w:bottom w:w="80" w:type="dxa"/>
              <w:start w:w="120" w:type="dxa"/>
              <w:end w:w="120" w:type="dxa"/>
            </w:tcMar>
          </w:tcPr>
          <w:p>
            <w:pPr>
              <w:spacing w:after="0"/>
            </w:pPr>
            <w:r>
              <w:rPr>
                <w:rFonts w:ascii="Calibri" w:hAnsi="Calibri"/>
              </w:rPr>
              <w:t>Andre Johnson</w:t>
            </w:r>
            <w:r>
              <w:br/>
            </w:r>
            <w:r>
              <w:rPr>
                <w:rFonts w:ascii="Calibri" w:hAnsi="Calibri"/>
              </w:rPr>
              <w:t>3222 Hoyt Ave #C</w:t>
            </w:r>
            <w:r>
              <w:br/>
            </w:r>
            <w:r>
              <w:rPr>
                <w:rFonts w:ascii="Calibri" w:hAnsi="Calibri"/>
              </w:rPr>
              <w:t>Everett, WA 98201</w:t>
            </w:r>
          </w:p>
        </w:tc>
      </w:tr>
    </w:tbl>
    <w:p>
      <w:pPr>
        <w:spacing w:before="160" w:after="160" w:line="264" w:lineRule="auto"/>
      </w:pPr>
      <w:r>
        <w:rPr>
          <w:rFonts w:ascii="Calibri" w:hAnsi="Calibri"/>
        </w:rPr>
        <w:t>EduCare Leads and Contractor are each a "Party" and together the "Parties."</w:t>
      </w:r>
    </w:p>
    <w:p>
      <w:pPr>
        <w:pStyle w:val="Heading1"/>
      </w:pPr>
      <w:r>
        <w:t>1. Role</w:t>
      </w:r>
    </w:p>
    <w:p>
      <w:pPr>
        <w:spacing w:before="0" w:after="120" w:line="264" w:lineRule="auto"/>
      </w:pPr>
      <w:r>
        <w:rPr>
          <w:rFonts w:ascii="Calibri" w:hAnsi="Calibri"/>
          <w:b w:val="0"/>
        </w:rPr>
        <w:t>Contractor will assist EduCare Leads with business development and sales by identifying prospects, communicating with potential clients, and helping close deals for EduCare Leads (the "Services").</w:t>
      </w:r>
    </w:p>
    <w:p>
      <w:pPr>
        <w:spacing w:before="0" w:after="120" w:line="264" w:lineRule="auto"/>
      </w:pPr>
      <w:r>
        <w:rPr>
          <w:rFonts w:ascii="Calibri" w:hAnsi="Calibri"/>
          <w:b w:val="0"/>
        </w:rPr>
        <w:t>Contractor may not make promises, guarantees, discounts, or contractual commitments on behalf of EduCare Leads unless EduCare Leads approves them in writing.</w:t>
      </w:r>
    </w:p>
    <w:p>
      <w:pPr>
        <w:pStyle w:val="Heading1"/>
      </w:pPr>
      <w:r>
        <w:t>2. Commission</w:t>
      </w:r>
    </w:p>
    <w:p>
      <w:pPr>
        <w:spacing w:before="0" w:after="120" w:line="264" w:lineRule="auto"/>
      </w:pPr>
      <w:r>
        <w:rPr>
          <w:rFonts w:ascii="Calibri" w:hAnsi="Calibri"/>
          <w:b w:val="0"/>
        </w:rPr>
        <w:t xml:space="preserve">EduCare Leads will pay Contractor a commission equal to </w:t>
      </w:r>
      <w:r>
        <w:rPr>
          <w:rFonts w:ascii="Calibri" w:hAnsi="Calibri"/>
          <w:b/>
        </w:rPr>
        <w:t>ten percent (10%) of Net Cash Collected</w:t>
      </w:r>
      <w:r>
        <w:rPr>
          <w:rFonts w:ascii="Calibri" w:hAnsi="Calibri"/>
          <w:b w:val="0"/>
        </w:rPr>
        <w:t xml:space="preserve"> by EduCare Leads from each Closed Deal that Contractor closes for EduCare Leads.</w:t>
      </w:r>
    </w:p>
    <w:p>
      <w:pPr>
        <w:spacing w:before="0" w:after="120" w:line="264" w:lineRule="auto"/>
      </w:pPr>
      <w:r>
        <w:rPr>
          <w:rFonts w:ascii="Calibri" w:hAnsi="Calibri"/>
          <w:b/>
        </w:rPr>
        <w:t xml:space="preserve">Closed Deal: </w:t>
      </w:r>
      <w:r>
        <w:rPr>
          <w:rFonts w:ascii="Calibri" w:hAnsi="Calibri"/>
          <w:b w:val="0"/>
        </w:rPr>
        <w:t>a customer introduced, sold, or closed by Contractor that is accepted by EduCare Leads and results in EduCare Leads receiving payment from that customer.</w:t>
      </w:r>
    </w:p>
    <w:p>
      <w:pPr>
        <w:spacing w:before="0" w:after="120" w:line="264" w:lineRule="auto"/>
      </w:pPr>
      <w:r>
        <w:rPr>
          <w:rFonts w:ascii="Calibri" w:hAnsi="Calibri"/>
          <w:b/>
        </w:rPr>
        <w:t xml:space="preserve">Net Cash Collected: </w:t>
      </w:r>
      <w:r>
        <w:rPr>
          <w:rFonts w:ascii="Calibri" w:hAnsi="Calibri"/>
          <w:b w:val="0"/>
        </w:rPr>
        <w:t>amounts actually received and retained by EduCare Leads from the customer, excluding taxes, refunds, chargebacks, credits, payment processing fees, third-party advertising spend, and other pass-through costs.</w:t>
      </w:r>
    </w:p>
    <w:p>
      <w:pPr>
        <w:spacing w:before="0" w:after="120" w:line="264" w:lineRule="auto"/>
      </w:pPr>
      <w:r>
        <w:rPr>
          <w:rFonts w:ascii="Calibri" w:hAnsi="Calibri"/>
          <w:b/>
        </w:rPr>
        <w:t xml:space="preserve">Commission period: </w:t>
      </w:r>
      <w:r>
        <w:rPr>
          <w:rFonts w:ascii="Calibri" w:hAnsi="Calibri"/>
          <w:b w:val="0"/>
        </w:rPr>
        <w:t>the commission applies only to Net Cash Collected during the first twelve (12) months after EduCare Leads receives the customer's first payment for that Closed Deal.</w:t>
      </w:r>
    </w:p>
    <w:p>
      <w:pPr>
        <w:spacing w:before="0" w:after="120" w:line="264" w:lineRule="auto"/>
      </w:pPr>
      <w:r>
        <w:rPr>
          <w:rFonts w:ascii="Calibri" w:hAnsi="Calibri"/>
          <w:b w:val="0"/>
        </w:rPr>
        <w:t>Unless EduCare Leads agrees otherwise in writing, no commission is owed on amounts collected after the first twelve (12) months, on customers not attributable to Contractor, or on deals not accepted by EduCare Leads.</w:t>
      </w:r>
    </w:p>
    <w:p>
      <w:pPr>
        <w:pStyle w:val="Heading1"/>
      </w:pPr>
      <w:r>
        <w:t>3. Payment Timing</w:t>
      </w:r>
    </w:p>
    <w:p>
      <w:pPr>
        <w:spacing w:before="0" w:after="120" w:line="264" w:lineRule="auto"/>
      </w:pPr>
      <w:r>
        <w:rPr>
          <w:rFonts w:ascii="Calibri" w:hAnsi="Calibri"/>
          <w:b w:val="0"/>
        </w:rPr>
        <w:t>Commissions will be calculated monthly and paid within fifteen (15) days after the end of each month in which EduCare Leads receives the applicable Net Cash Collected.</w:t>
      </w:r>
    </w:p>
    <w:p>
      <w:pPr>
        <w:spacing w:before="0" w:after="120" w:line="264" w:lineRule="auto"/>
      </w:pPr>
      <w:r>
        <w:rPr>
          <w:rFonts w:ascii="Calibri" w:hAnsi="Calibri"/>
          <w:b w:val="0"/>
        </w:rPr>
        <w:t>If EduCare Leads later refunds, credits, reverses, or does not retain any customer payment, EduCare Leads may offset the related commission against future payments or request repayment from Contractor.</w:t>
      </w:r>
    </w:p>
    <w:p>
      <w:pPr>
        <w:pStyle w:val="Heading1"/>
      </w:pPr>
      <w:r>
        <w:t>4. Independent Contractor Status</w:t>
      </w:r>
    </w:p>
    <w:p>
      <w:pPr>
        <w:spacing w:before="0" w:after="120" w:line="264" w:lineRule="auto"/>
      </w:pPr>
      <w:r>
        <w:rPr>
          <w:rFonts w:ascii="Calibri" w:hAnsi="Calibri"/>
          <w:b w:val="0"/>
        </w:rPr>
        <w:t>Contractor is an independent contractor and is not an employee, partner, agent, or joint venturer of EduCare Leads. Contractor is responsible for all taxes, insurance, licenses, expenses, and legal obligations related to Contractor's work under this Agreement.</w:t>
      </w:r>
    </w:p>
    <w:p>
      <w:pPr>
        <w:pStyle w:val="Heading1"/>
      </w:pPr>
      <w:r>
        <w:t>5. Confidentiality</w:t>
      </w:r>
    </w:p>
    <w:p>
      <w:pPr>
        <w:spacing w:before="0" w:after="120" w:line="264" w:lineRule="auto"/>
      </w:pPr>
      <w:r>
        <w:rPr>
          <w:rFonts w:ascii="Calibri" w:hAnsi="Calibri"/>
          <w:b w:val="0"/>
        </w:rPr>
        <w:t>Contractor will keep confidential all non-public information received from EduCare Leads, including pricing, client information, leads, sales materials, processes, and business plans. Contractor may use such information only to perform the Services.</w:t>
      </w:r>
    </w:p>
    <w:p>
      <w:pPr>
        <w:pStyle w:val="Heading1"/>
      </w:pPr>
      <w:r>
        <w:t>6. Term and Termination</w:t>
      </w:r>
    </w:p>
    <w:p>
      <w:pPr>
        <w:spacing w:before="0" w:after="120" w:line="264" w:lineRule="auto"/>
      </w:pPr>
      <w:r>
        <w:rPr>
          <w:rFonts w:ascii="Calibri" w:hAnsi="Calibri"/>
          <w:b w:val="0"/>
        </w:rPr>
        <w:t>This Agreement begins on the Effective Date and continues until terminated by either Party with written notice.</w:t>
      </w:r>
    </w:p>
    <w:p>
      <w:pPr>
        <w:spacing w:before="0" w:after="120" w:line="264" w:lineRule="auto"/>
      </w:pPr>
      <w:r>
        <w:rPr>
          <w:rFonts w:ascii="Calibri" w:hAnsi="Calibri"/>
          <w:b w:val="0"/>
        </w:rPr>
        <w:t>Either Party may terminate this Agreement at any time. Termination does not affect commissions earned on Closed Deals accepted by EduCare Leads before the termination date, provided those commissions are based on Net Cash Collected during the applicable first twelve (12) month commission period.</w:t>
      </w:r>
    </w:p>
    <w:p>
      <w:pPr>
        <w:pStyle w:val="Heading1"/>
      </w:pPr>
      <w:r>
        <w:t>7. General</w:t>
      </w:r>
    </w:p>
    <w:p>
      <w:pPr>
        <w:spacing w:before="0" w:after="120" w:line="264" w:lineRule="auto"/>
      </w:pPr>
      <w:r>
        <w:rPr>
          <w:rFonts w:ascii="Calibri" w:hAnsi="Calibri"/>
          <w:b w:val="0"/>
        </w:rPr>
        <w:t>This Agreement is the entire agreement between the Parties regarding Contractor's Services and commissions and supersedes all prior discussions or understandings on that subject. Any amendment must be in writing and signed by both Parties. Electronic signatures and copies of signatures will be treated as originals.</w:t>
      </w:r>
    </w:p>
    <w:p>
      <w:r>
        <w:br w:type="page"/>
      </w:r>
    </w:p>
    <w:p>
      <w:pPr>
        <w:pStyle w:val="Heading1"/>
      </w:pPr>
      <w:r>
        <w:t>8. Signatures</w:t>
      </w:r>
    </w:p>
    <w:p>
      <w:pPr>
        <w:spacing w:before="0" w:after="200" w:line="264" w:lineRule="auto"/>
      </w:pPr>
      <w:r>
        <w:rPr>
          <w:rFonts w:ascii="Calibri" w:hAnsi="Calibri"/>
        </w:rPr>
        <w:t>By signing below, the Parties agree to the terms of this Agreement.</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bottom w:w="80" w:type="dxa"/>
              <w:start w:w="120" w:type="dxa"/>
              <w:end w:w="120" w:type="dxa"/>
            </w:tcMar>
          </w:tcPr>
          <w:p>
            <w:pPr>
              <w:spacing w:after="80"/>
            </w:pPr>
            <w:r>
              <w:rPr>
                <w:rFonts w:ascii="Calibri" w:hAnsi="Calibri"/>
                <w:b/>
              </w:rPr>
              <w:t>EduCare Leads (9503-3692 Quebec Inc.)</w:t>
            </w:r>
          </w:p>
        </w:tc>
        <w:tc>
          <w:tcPr>
            <w:tcW w:type="dxa" w:w="4680"/>
            <w:vAlign w:val="center"/>
            <w:tcMar>
              <w:top w:w="80" w:type="dxa"/>
              <w:bottom w:w="80" w:type="dxa"/>
              <w:start w:w="120" w:type="dxa"/>
              <w:end w:w="120" w:type="dxa"/>
            </w:tcMar>
          </w:tcPr>
          <w:p>
            <w:pPr>
              <w:spacing w:after="80"/>
            </w:pPr>
            <w:r>
              <w:rPr>
                <w:rFonts w:ascii="Calibri" w:hAnsi="Calibri"/>
                <w:b/>
              </w:rPr>
              <w:t>Andre Johnson</w:t>
            </w:r>
          </w:p>
        </w:tc>
      </w:tr>
      <w:tr>
        <w:tc>
          <w:tcPr>
            <w:tcW w:type="dxa" w:w="4680"/>
            <w:vAlign w:val="center"/>
            <w:tcMar>
              <w:top w:w="80" w:type="dxa"/>
              <w:bottom w:w="80" w:type="dxa"/>
              <w:start w:w="120" w:type="dxa"/>
              <w:end w:w="120" w:type="dxa"/>
            </w:tcMar>
          </w:tcPr>
          <w:p>
            <w:pPr>
              <w:spacing w:after="80"/>
            </w:pPr>
            <w:r>
              <w:rPr>
                <w:rFonts w:ascii="Calibri" w:hAnsi="Calibri"/>
                <w:b w:val="0"/>
              </w:rPr>
            </w:r>
          </w:p>
        </w:tc>
        <w:tc>
          <w:tcPr>
            <w:tcW w:type="dxa" w:w="4680"/>
            <w:vAlign w:val="center"/>
            <w:tcMar>
              <w:top w:w="80" w:type="dxa"/>
              <w:bottom w:w="80" w:type="dxa"/>
              <w:start w:w="120" w:type="dxa"/>
              <w:end w:w="120" w:type="dxa"/>
            </w:tcMar>
          </w:tcPr>
          <w:p>
            <w:pPr>
              <w:spacing w:after="80"/>
            </w:pPr>
            <w:r>
              <w:rPr>
                <w:rFonts w:ascii="Calibri" w:hAnsi="Calibri"/>
                <w:b w:val="0"/>
              </w:rPr>
            </w:r>
          </w:p>
        </w:tc>
      </w:tr>
      <w:tr>
        <w:tc>
          <w:tcPr>
            <w:tcW w:type="dxa" w:w="4680"/>
            <w:vAlign w:val="center"/>
            <w:tcMar>
              <w:top w:w="80" w:type="dxa"/>
              <w:bottom w:w="80" w:type="dxa"/>
              <w:start w:w="120" w:type="dxa"/>
              <w:end w:w="120" w:type="dxa"/>
            </w:tcMar>
          </w:tcPr>
          <w:p>
            <w:pPr>
              <w:spacing w:after="80"/>
            </w:pPr>
            <w:r>
              <w:rPr>
                <w:rFonts w:ascii="Calibri" w:hAnsi="Calibri"/>
                <w:b w:val="0"/>
              </w:rPr>
              <w:t>Signature: ______________________________</w:t>
            </w:r>
          </w:p>
        </w:tc>
        <w:tc>
          <w:tcPr>
            <w:tcW w:type="dxa" w:w="4680"/>
            <w:vAlign w:val="center"/>
            <w:tcMar>
              <w:top w:w="80" w:type="dxa"/>
              <w:bottom w:w="80" w:type="dxa"/>
              <w:start w:w="120" w:type="dxa"/>
              <w:end w:w="120" w:type="dxa"/>
            </w:tcMar>
          </w:tcPr>
          <w:p>
            <w:pPr>
              <w:spacing w:after="80"/>
            </w:pPr>
            <w:r>
              <w:rPr>
                <w:rFonts w:ascii="Calibri" w:hAnsi="Calibri"/>
                <w:b w:val="0"/>
              </w:rPr>
              <w:t>Signature: ______________________________</w:t>
            </w:r>
          </w:p>
        </w:tc>
      </w:tr>
      <w:tr>
        <w:tc>
          <w:tcPr>
            <w:tcW w:type="dxa" w:w="4680"/>
            <w:vAlign w:val="center"/>
            <w:tcMar>
              <w:top w:w="80" w:type="dxa"/>
              <w:bottom w:w="80" w:type="dxa"/>
              <w:start w:w="120" w:type="dxa"/>
              <w:end w:w="120" w:type="dxa"/>
            </w:tcMar>
          </w:tcPr>
          <w:p>
            <w:pPr>
              <w:spacing w:after="80"/>
            </w:pPr>
            <w:r>
              <w:rPr>
                <w:rFonts w:ascii="Calibri" w:hAnsi="Calibri"/>
                <w:b w:val="0"/>
              </w:rPr>
              <w:t>Name: __________________________________</w:t>
            </w:r>
          </w:p>
        </w:tc>
        <w:tc>
          <w:tcPr>
            <w:tcW w:type="dxa" w:w="4680"/>
            <w:vAlign w:val="center"/>
            <w:tcMar>
              <w:top w:w="80" w:type="dxa"/>
              <w:bottom w:w="80" w:type="dxa"/>
              <w:start w:w="120" w:type="dxa"/>
              <w:end w:w="120" w:type="dxa"/>
            </w:tcMar>
          </w:tcPr>
          <w:p>
            <w:pPr>
              <w:spacing w:after="80"/>
            </w:pPr>
            <w:r>
              <w:rPr>
                <w:rFonts w:ascii="Calibri" w:hAnsi="Calibri"/>
                <w:b w:val="0"/>
              </w:rPr>
              <w:t>Name: Andre Johnson</w:t>
            </w:r>
          </w:p>
        </w:tc>
      </w:tr>
      <w:tr>
        <w:tc>
          <w:tcPr>
            <w:tcW w:type="dxa" w:w="4680"/>
            <w:vAlign w:val="center"/>
            <w:tcMar>
              <w:top w:w="80" w:type="dxa"/>
              <w:bottom w:w="80" w:type="dxa"/>
              <w:start w:w="120" w:type="dxa"/>
              <w:end w:w="120" w:type="dxa"/>
            </w:tcMar>
          </w:tcPr>
          <w:p>
            <w:pPr>
              <w:spacing w:after="80"/>
            </w:pPr>
            <w:r>
              <w:rPr>
                <w:rFonts w:ascii="Calibri" w:hAnsi="Calibri"/>
                <w:b w:val="0"/>
              </w:rPr>
              <w:t>Title: ___________________________________</w:t>
            </w:r>
          </w:p>
        </w:tc>
        <w:tc>
          <w:tcPr>
            <w:tcW w:type="dxa" w:w="4680"/>
            <w:vAlign w:val="center"/>
            <w:tcMar>
              <w:top w:w="80" w:type="dxa"/>
              <w:bottom w:w="80" w:type="dxa"/>
              <w:start w:w="120" w:type="dxa"/>
              <w:end w:w="120" w:type="dxa"/>
            </w:tcMar>
          </w:tcPr>
          <w:p>
            <w:pPr>
              <w:spacing w:after="80"/>
            </w:pPr>
            <w:r>
              <w:rPr>
                <w:rFonts w:ascii="Calibri" w:hAnsi="Calibri"/>
                <w:b w:val="0"/>
              </w:rPr>
            </w:r>
          </w:p>
        </w:tc>
      </w:tr>
      <w:tr>
        <w:tc>
          <w:tcPr>
            <w:tcW w:type="dxa" w:w="4680"/>
            <w:vAlign w:val="center"/>
            <w:tcMar>
              <w:top w:w="80" w:type="dxa"/>
              <w:bottom w:w="80" w:type="dxa"/>
              <w:start w:w="120" w:type="dxa"/>
              <w:end w:w="120" w:type="dxa"/>
            </w:tcMar>
          </w:tcPr>
          <w:p>
            <w:pPr>
              <w:spacing w:after="80"/>
            </w:pPr>
            <w:r>
              <w:rPr>
                <w:rFonts w:ascii="Calibri" w:hAnsi="Calibri"/>
                <w:b w:val="0"/>
              </w:rPr>
              <w:t>Date: ___________________________________</w:t>
            </w:r>
          </w:p>
        </w:tc>
        <w:tc>
          <w:tcPr>
            <w:tcW w:type="dxa" w:w="4680"/>
            <w:vAlign w:val="center"/>
            <w:tcMar>
              <w:top w:w="80" w:type="dxa"/>
              <w:bottom w:w="80" w:type="dxa"/>
              <w:start w:w="120" w:type="dxa"/>
              <w:end w:w="120" w:type="dxa"/>
            </w:tcMar>
          </w:tcPr>
          <w:p>
            <w:pPr>
              <w:spacing w:after="80"/>
            </w:pPr>
            <w:r>
              <w:rPr>
                <w:rFonts w:ascii="Calibri" w:hAnsi="Calibri"/>
                <w:b w:val="0"/>
              </w:rPr>
              <w:t>Date: ___________________________________</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55555"/>
        <w:sz w:val="18"/>
      </w:rPr>
      <w:t>EduCare Leads | Andre Johnson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color w:val="555555"/>
        <w:sz w:val="18"/>
      </w:rPr>
      <w:t>Independent Contractor Commission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