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B2A2" w14:textId="3856347E" w:rsidR="00846656" w:rsidRPr="00B65FFB" w:rsidRDefault="000C21A2" w:rsidP="00774EDC">
      <w:pPr>
        <w:rPr>
          <w:rFonts w:ascii="Times New Roman" w:hAnsi="Times New Roman" w:cs="Times New Roman"/>
          <w:b/>
          <w:bCs/>
          <w:sz w:val="74"/>
          <w:szCs w:val="74"/>
          <w:u w:val="single"/>
        </w:rPr>
      </w:pPr>
      <w:r w:rsidRPr="00B65FFB">
        <w:rPr>
          <w:rFonts w:ascii="Times New Roman" w:hAnsi="Times New Roman" w:cs="Times New Roman"/>
          <w:b/>
          <w:bCs/>
          <w:sz w:val="74"/>
          <w:szCs w:val="74"/>
          <w:u w:val="single"/>
        </w:rPr>
        <w:t xml:space="preserve">UNIVERSITY OF GHANA </w:t>
      </w:r>
    </w:p>
    <w:p w14:paraId="6BA507D0" w14:textId="0192A0B1" w:rsidR="00846656" w:rsidRPr="00B65FFB" w:rsidRDefault="00B65FFB" w:rsidP="00774EDC">
      <w:pPr>
        <w:rPr>
          <w:rFonts w:ascii="Times New Roman" w:hAnsi="Times New Roman" w:cs="Times New Roman"/>
          <w:sz w:val="48"/>
          <w:szCs w:val="48"/>
        </w:rPr>
      </w:pPr>
      <w:r>
        <w:rPr>
          <w:rFonts w:ascii="Times New Roman" w:hAnsi="Times New Roman" w:cs="Times New Roman"/>
        </w:rPr>
        <w:tab/>
      </w:r>
    </w:p>
    <w:p w14:paraId="1BEAF3D0" w14:textId="218B5BDA" w:rsidR="00846656" w:rsidRDefault="000C4E72" w:rsidP="00774EDC">
      <w:pPr>
        <w:rPr>
          <w:rFonts w:ascii="Times New Roman" w:hAnsi="Times New Roman" w:cs="Times New Roman"/>
          <w:b/>
          <w:bCs/>
          <w:sz w:val="48"/>
          <w:szCs w:val="48"/>
        </w:rPr>
      </w:pPr>
      <w:r>
        <w:rPr>
          <w:rFonts w:ascii="Times New Roman" w:hAnsi="Times New Roman" w:cs="Times New Roman"/>
          <w:b/>
          <w:bCs/>
          <w:sz w:val="48"/>
          <w:szCs w:val="48"/>
        </w:rPr>
        <w:t xml:space="preserve">      </w:t>
      </w:r>
      <w:r w:rsidR="00B65FFB">
        <w:rPr>
          <w:rFonts w:ascii="Times New Roman" w:hAnsi="Times New Roman" w:cs="Times New Roman"/>
          <w:b/>
          <w:bCs/>
          <w:sz w:val="48"/>
          <w:szCs w:val="48"/>
        </w:rPr>
        <w:t>DEPARTMENT OF STA</w:t>
      </w:r>
      <w:r w:rsidR="00525242">
        <w:rPr>
          <w:rFonts w:ascii="Times New Roman" w:hAnsi="Times New Roman" w:cs="Times New Roman"/>
          <w:b/>
          <w:bCs/>
          <w:sz w:val="48"/>
          <w:szCs w:val="48"/>
        </w:rPr>
        <w:t xml:space="preserve">TISTICS </w:t>
      </w:r>
    </w:p>
    <w:p w14:paraId="2999298D" w14:textId="63AF15A9" w:rsidR="006174C4" w:rsidRDefault="00E06EEB" w:rsidP="00774EDC">
      <w:pPr>
        <w:rPr>
          <w:rFonts w:ascii="Times New Roman" w:hAnsi="Times New Roman" w:cs="Times New Roman"/>
          <w:b/>
          <w:bCs/>
          <w:sz w:val="48"/>
          <w:szCs w:val="48"/>
        </w:rPr>
      </w:pPr>
      <w:r>
        <w:rPr>
          <w:rFonts w:ascii="Times New Roman" w:hAnsi="Times New Roman" w:cs="Times New Roman"/>
          <w:b/>
          <w:bCs/>
          <w:sz w:val="48"/>
          <w:szCs w:val="48"/>
        </w:rPr>
        <w:t xml:space="preserve">                 STAT</w:t>
      </w:r>
      <w:r w:rsidR="006E30E9">
        <w:rPr>
          <w:rFonts w:ascii="Times New Roman" w:hAnsi="Times New Roman" w:cs="Times New Roman"/>
          <w:b/>
          <w:bCs/>
          <w:sz w:val="48"/>
          <w:szCs w:val="48"/>
        </w:rPr>
        <w:t xml:space="preserve"> 450(PROJECT)</w:t>
      </w:r>
    </w:p>
    <w:p w14:paraId="5572473B" w14:textId="77777777" w:rsidR="006E30E9" w:rsidRPr="00B65FFB" w:rsidRDefault="006E30E9" w:rsidP="00774EDC">
      <w:pPr>
        <w:rPr>
          <w:rFonts w:ascii="Times New Roman" w:hAnsi="Times New Roman" w:cs="Times New Roman"/>
          <w:b/>
          <w:bCs/>
          <w:sz w:val="48"/>
          <w:szCs w:val="48"/>
        </w:rPr>
      </w:pPr>
    </w:p>
    <w:p w14:paraId="2CD829B5" w14:textId="15C5E680" w:rsidR="00846656" w:rsidRPr="00C131EA" w:rsidRDefault="00C131EA" w:rsidP="00774EDC">
      <w:pPr>
        <w:rPr>
          <w:rFonts w:ascii="Times New Roman" w:hAnsi="Times New Roman" w:cs="Times New Roman"/>
          <w:b/>
          <w:bCs/>
          <w:sz w:val="40"/>
          <w:szCs w:val="40"/>
        </w:rPr>
      </w:pPr>
      <w:r>
        <w:rPr>
          <w:rFonts w:ascii="Times New Roman" w:hAnsi="Times New Roman" w:cs="Times New Roman"/>
          <w:b/>
          <w:bCs/>
          <w:sz w:val="40"/>
          <w:szCs w:val="40"/>
        </w:rPr>
        <w:t>TIME SERIES ANALYSIS OF THE RISE IN FUEL PRICES IN GHANA</w:t>
      </w:r>
    </w:p>
    <w:p w14:paraId="4AE41BA8" w14:textId="77777777" w:rsidR="00846656" w:rsidRDefault="00846656" w:rsidP="00774EDC">
      <w:pPr>
        <w:rPr>
          <w:rFonts w:ascii="Times New Roman" w:hAnsi="Times New Roman" w:cs="Times New Roman"/>
        </w:rPr>
      </w:pPr>
    </w:p>
    <w:p w14:paraId="1C8AEB41" w14:textId="77777777" w:rsidR="006E30E9" w:rsidRDefault="006E30E9" w:rsidP="00774EDC">
      <w:pPr>
        <w:rPr>
          <w:rFonts w:ascii="Times New Roman" w:hAnsi="Times New Roman" w:cs="Times New Roman"/>
        </w:rPr>
      </w:pPr>
    </w:p>
    <w:p w14:paraId="15F343FE" w14:textId="412F3BED" w:rsidR="006E30E9" w:rsidRDefault="004A5F81" w:rsidP="00774EDC">
      <w:pPr>
        <w:rPr>
          <w:rFonts w:ascii="Times New Roman" w:hAnsi="Times New Roman" w:cs="Times New Roman"/>
          <w:b/>
          <w:bCs/>
        </w:rPr>
      </w:pPr>
      <w:r>
        <w:rPr>
          <w:rFonts w:ascii="Times New Roman" w:hAnsi="Times New Roman" w:cs="Times New Roman"/>
          <w:b/>
          <w:bCs/>
        </w:rPr>
        <w:t xml:space="preserve">NAME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ID </w:t>
      </w:r>
    </w:p>
    <w:p w14:paraId="514E6284" w14:textId="77777777" w:rsidR="00C131EA" w:rsidRDefault="004A5F81" w:rsidP="00774EDC">
      <w:pPr>
        <w:rPr>
          <w:rFonts w:ascii="Times New Roman" w:hAnsi="Times New Roman" w:cs="Times New Roman"/>
          <w:b/>
          <w:bCs/>
        </w:rPr>
      </w:pPr>
      <w:r>
        <w:rPr>
          <w:rFonts w:ascii="Times New Roman" w:hAnsi="Times New Roman" w:cs="Times New Roman"/>
          <w:b/>
          <w:bCs/>
        </w:rPr>
        <w:t xml:space="preserve">THEOPHILUS </w:t>
      </w:r>
      <w:r w:rsidR="00C131EA">
        <w:rPr>
          <w:rFonts w:ascii="Times New Roman" w:hAnsi="Times New Roman" w:cs="Times New Roman"/>
          <w:b/>
          <w:bCs/>
        </w:rPr>
        <w:t xml:space="preserve">GYABAAH </w:t>
      </w:r>
      <w:r w:rsidR="00C131EA">
        <w:rPr>
          <w:rFonts w:ascii="Times New Roman" w:hAnsi="Times New Roman" w:cs="Times New Roman"/>
          <w:b/>
          <w:bCs/>
        </w:rPr>
        <w:tab/>
      </w:r>
      <w:r w:rsidR="00C131EA">
        <w:rPr>
          <w:rFonts w:ascii="Times New Roman" w:hAnsi="Times New Roman" w:cs="Times New Roman"/>
          <w:b/>
          <w:bCs/>
        </w:rPr>
        <w:tab/>
        <w:t>11038981</w:t>
      </w:r>
    </w:p>
    <w:p w14:paraId="1C246B4B" w14:textId="77777777" w:rsidR="00C131EA" w:rsidRDefault="00C131EA" w:rsidP="00774EDC">
      <w:pPr>
        <w:rPr>
          <w:rFonts w:ascii="Times New Roman" w:hAnsi="Times New Roman" w:cs="Times New Roman"/>
          <w:b/>
          <w:bCs/>
        </w:rPr>
      </w:pPr>
      <w:r>
        <w:rPr>
          <w:rFonts w:ascii="Times New Roman" w:hAnsi="Times New Roman" w:cs="Times New Roman"/>
          <w:b/>
          <w:bCs/>
        </w:rPr>
        <w:t>ADAMS EMMANUEL PADDY                  11264136</w:t>
      </w:r>
    </w:p>
    <w:p w14:paraId="38CDC089" w14:textId="3C847913" w:rsidR="004A5F81" w:rsidRPr="004A5F81" w:rsidRDefault="00C131EA" w:rsidP="00774EDC">
      <w:pPr>
        <w:rPr>
          <w:rFonts w:ascii="Times New Roman" w:hAnsi="Times New Roman" w:cs="Times New Roman"/>
          <w:b/>
          <w:bCs/>
        </w:rPr>
      </w:pPr>
      <w:r>
        <w:rPr>
          <w:rFonts w:ascii="Times New Roman" w:hAnsi="Times New Roman" w:cs="Times New Roman"/>
          <w:b/>
          <w:bCs/>
        </w:rPr>
        <w:t>CHRIS OKWANING KORAM                  11345562</w:t>
      </w:r>
      <w:r w:rsidR="004A5F81">
        <w:rPr>
          <w:rFonts w:ascii="Times New Roman" w:hAnsi="Times New Roman" w:cs="Times New Roman"/>
          <w:b/>
          <w:bCs/>
        </w:rPr>
        <w:tab/>
      </w:r>
      <w:r w:rsidR="004A5F81">
        <w:rPr>
          <w:rFonts w:ascii="Times New Roman" w:hAnsi="Times New Roman" w:cs="Times New Roman"/>
          <w:b/>
          <w:bCs/>
        </w:rPr>
        <w:tab/>
      </w:r>
      <w:r w:rsidR="004A5F81">
        <w:rPr>
          <w:rFonts w:ascii="Times New Roman" w:hAnsi="Times New Roman" w:cs="Times New Roman"/>
          <w:b/>
          <w:bCs/>
        </w:rPr>
        <w:tab/>
      </w:r>
      <w:r w:rsidR="004A5F81">
        <w:rPr>
          <w:rFonts w:ascii="Times New Roman" w:hAnsi="Times New Roman" w:cs="Times New Roman"/>
          <w:b/>
          <w:bCs/>
        </w:rPr>
        <w:tab/>
      </w:r>
    </w:p>
    <w:p w14:paraId="78AB0981" w14:textId="77777777" w:rsidR="00846656" w:rsidRDefault="00846656" w:rsidP="00774EDC">
      <w:pPr>
        <w:rPr>
          <w:rFonts w:ascii="Times New Roman" w:hAnsi="Times New Roman" w:cs="Times New Roman"/>
        </w:rPr>
      </w:pPr>
    </w:p>
    <w:p w14:paraId="7EAE80A9" w14:textId="77777777" w:rsidR="00846656" w:rsidRDefault="00846656" w:rsidP="00774EDC">
      <w:pPr>
        <w:rPr>
          <w:rFonts w:ascii="Times New Roman" w:hAnsi="Times New Roman" w:cs="Times New Roman"/>
        </w:rPr>
      </w:pPr>
    </w:p>
    <w:p w14:paraId="70FBE7BF" w14:textId="77777777" w:rsidR="00846656" w:rsidRDefault="00846656" w:rsidP="00774EDC">
      <w:pPr>
        <w:rPr>
          <w:rFonts w:ascii="Times New Roman" w:hAnsi="Times New Roman" w:cs="Times New Roman"/>
        </w:rPr>
      </w:pPr>
    </w:p>
    <w:p w14:paraId="2E18C139" w14:textId="77777777" w:rsidR="00846656" w:rsidRDefault="00846656" w:rsidP="00774EDC">
      <w:pPr>
        <w:rPr>
          <w:rFonts w:ascii="Times New Roman" w:hAnsi="Times New Roman" w:cs="Times New Roman"/>
        </w:rPr>
      </w:pPr>
    </w:p>
    <w:p w14:paraId="145B58AA" w14:textId="77777777" w:rsidR="00846656" w:rsidRDefault="00846656" w:rsidP="00774EDC">
      <w:pPr>
        <w:rPr>
          <w:rFonts w:ascii="Times New Roman" w:hAnsi="Times New Roman" w:cs="Times New Roman"/>
        </w:rPr>
      </w:pPr>
    </w:p>
    <w:p w14:paraId="39857B9D" w14:textId="77777777" w:rsidR="00846656" w:rsidRDefault="00846656" w:rsidP="00774EDC">
      <w:pPr>
        <w:rPr>
          <w:rFonts w:ascii="Times New Roman" w:hAnsi="Times New Roman" w:cs="Times New Roman"/>
        </w:rPr>
      </w:pPr>
    </w:p>
    <w:p w14:paraId="54A71F8F" w14:textId="77777777" w:rsidR="00846656" w:rsidRDefault="00846656" w:rsidP="00774EDC">
      <w:pPr>
        <w:rPr>
          <w:rFonts w:ascii="Times New Roman" w:hAnsi="Times New Roman" w:cs="Times New Roman"/>
        </w:rPr>
      </w:pPr>
    </w:p>
    <w:p w14:paraId="09F7F9E4" w14:textId="77777777" w:rsidR="00846656" w:rsidRDefault="00846656" w:rsidP="00774EDC">
      <w:pPr>
        <w:rPr>
          <w:rFonts w:ascii="Times New Roman" w:hAnsi="Times New Roman" w:cs="Times New Roman"/>
        </w:rPr>
      </w:pPr>
    </w:p>
    <w:p w14:paraId="1E2D426A" w14:textId="77777777" w:rsidR="00846656" w:rsidRDefault="00846656" w:rsidP="00774EDC">
      <w:pPr>
        <w:rPr>
          <w:rFonts w:ascii="Times New Roman" w:hAnsi="Times New Roman" w:cs="Times New Roman"/>
        </w:rPr>
      </w:pPr>
    </w:p>
    <w:p w14:paraId="0EE3C678" w14:textId="77777777" w:rsidR="00846656" w:rsidRDefault="00846656" w:rsidP="00774EDC">
      <w:pPr>
        <w:rPr>
          <w:rFonts w:ascii="Times New Roman" w:hAnsi="Times New Roman" w:cs="Times New Roman"/>
        </w:rPr>
      </w:pPr>
    </w:p>
    <w:p w14:paraId="16EBB072" w14:textId="77777777" w:rsidR="00846656" w:rsidRDefault="00846656" w:rsidP="00774EDC">
      <w:pPr>
        <w:rPr>
          <w:rFonts w:ascii="Times New Roman" w:hAnsi="Times New Roman" w:cs="Times New Roman"/>
        </w:rPr>
      </w:pPr>
    </w:p>
    <w:p w14:paraId="2FE33C98"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lastRenderedPageBreak/>
        <w:t>CHAPTER ONE: INTRODUCTION</w:t>
      </w:r>
    </w:p>
    <w:p w14:paraId="3B9871A1"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1.1 Background of the Study</w:t>
      </w:r>
    </w:p>
    <w:p w14:paraId="624C023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Fuel is a foundational commodity essential for industrial production, transportation networks, and agricultural development, serving as a primary driver of global economic activity (Hamilton, 2009). Whether in the form of gasoline, diesel, or liquid petroleum gas (LPG), fuel acts as a non-negotiable input for generating energy and facilitating the movement of goods and services. Because of this structural reliance, the availability and pricing of petroleum products directly dictate the operational capacity and efficiency of contemporary economies.</w:t>
      </w:r>
    </w:p>
    <w:p w14:paraId="18FE7BFC" w14:textId="77777777" w:rsidR="004E1758" w:rsidRPr="004E1758" w:rsidRDefault="004E1758" w:rsidP="004E1758">
      <w:pPr>
        <w:rPr>
          <w:rFonts w:ascii="Times New Roman" w:hAnsi="Times New Roman" w:cs="Times New Roman"/>
        </w:rPr>
      </w:pPr>
    </w:p>
    <w:p w14:paraId="75E73142"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Consequently, changes in fuel prices spread through the entire economy very quickly. Fluctuations impact the cost of living, drive inflation rates, alter business operating expenses, and ultimately shape the financial well-being of citizens (Hamilton, 2009). Given these cascading economic effects, the ability to accurately forecast price changes </w:t>
      </w:r>
      <w:proofErr w:type="gramStart"/>
      <w:r w:rsidRPr="004E1758">
        <w:rPr>
          <w:rFonts w:ascii="Times New Roman" w:hAnsi="Times New Roman" w:cs="Times New Roman"/>
        </w:rPr>
        <w:t>is</w:t>
      </w:r>
      <w:proofErr w:type="gramEnd"/>
      <w:r w:rsidRPr="004E1758">
        <w:rPr>
          <w:rFonts w:ascii="Times New Roman" w:hAnsi="Times New Roman" w:cs="Times New Roman"/>
        </w:rPr>
        <w:t xml:space="preserve"> highly valuable for both macroeconomic planning and individual consumer behavior.</w:t>
      </w:r>
    </w:p>
    <w:p w14:paraId="4159B274" w14:textId="77777777" w:rsidR="004E1758" w:rsidRPr="004E1758" w:rsidRDefault="004E1758" w:rsidP="004E1758">
      <w:pPr>
        <w:rPr>
          <w:rFonts w:ascii="Times New Roman" w:hAnsi="Times New Roman" w:cs="Times New Roman"/>
        </w:rPr>
      </w:pPr>
    </w:p>
    <w:p w14:paraId="291FE130"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Globally, the </w:t>
      </w:r>
      <w:proofErr w:type="gramStart"/>
      <w:r w:rsidRPr="004E1758">
        <w:rPr>
          <w:rFonts w:ascii="Times New Roman" w:hAnsi="Times New Roman" w:cs="Times New Roman"/>
        </w:rPr>
        <w:t>price formation</w:t>
      </w:r>
      <w:proofErr w:type="gramEnd"/>
      <w:r w:rsidRPr="004E1758">
        <w:rPr>
          <w:rFonts w:ascii="Times New Roman" w:hAnsi="Times New Roman" w:cs="Times New Roman"/>
        </w:rPr>
        <w:t xml:space="preserve"> of fuel depends largely on crude oil markets. International crude oil prices, particularly the world benchmark price of Brent crude, historically exhibit high volatility due to geopolitical risks, OPEC supply decisions, global demand shifts, and macroeconomic factors (Kilian, 2009). This volatility has prompted an extensive amount of research into energy price prediction. Previous empirical studies have explored various time-series and econometric approaches to model these dynamics; for instance, </w:t>
      </w:r>
      <w:proofErr w:type="spellStart"/>
      <w:r w:rsidRPr="004E1758">
        <w:rPr>
          <w:rFonts w:ascii="Times New Roman" w:hAnsi="Times New Roman" w:cs="Times New Roman"/>
        </w:rPr>
        <w:t>Jammazi</w:t>
      </w:r>
      <w:proofErr w:type="spellEnd"/>
      <w:r w:rsidRPr="004E1758">
        <w:rPr>
          <w:rFonts w:ascii="Times New Roman" w:hAnsi="Times New Roman" w:cs="Times New Roman"/>
        </w:rPr>
        <w:t xml:space="preserve"> and Aloui (2012) utilized wavelet decomposition and neural networks for crude oil forecasting, while Baumeister and Kilian (2014) evaluated the macroeconomic impacts of oil price predictions.</w:t>
      </w:r>
    </w:p>
    <w:p w14:paraId="470EA822" w14:textId="77777777" w:rsidR="004E1758" w:rsidRPr="004E1758" w:rsidRDefault="004E1758" w:rsidP="004E1758">
      <w:pPr>
        <w:rPr>
          <w:rFonts w:ascii="Times New Roman" w:hAnsi="Times New Roman" w:cs="Times New Roman"/>
        </w:rPr>
      </w:pPr>
    </w:p>
    <w:p w14:paraId="1854F4F3"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The effects of this global fuel price volatility have been especially pronounced in Sub-Saharan Africa. Unlike developed nations with diverse energy portfolios and well-established price stabilization techniques, numerous African nations rely entirely on imported refined petroleum products. In these countries, international price shocks to crude oil transmit directly into domestic fuel prices (Alom et al., 2013). Furthermore, fluctuations in the exchange rate between their local currencies and the US </w:t>
      </w:r>
      <w:proofErr w:type="gramStart"/>
      <w:r w:rsidRPr="004E1758">
        <w:rPr>
          <w:rFonts w:ascii="Times New Roman" w:hAnsi="Times New Roman" w:cs="Times New Roman"/>
        </w:rPr>
        <w:t>dollar—</w:t>
      </w:r>
      <w:proofErr w:type="gramEnd"/>
      <w:r w:rsidRPr="004E1758">
        <w:rPr>
          <w:rFonts w:ascii="Times New Roman" w:hAnsi="Times New Roman" w:cs="Times New Roman"/>
        </w:rPr>
        <w:t xml:space="preserve">the international currency for the crude oil </w:t>
      </w:r>
      <w:proofErr w:type="gramStart"/>
      <w:r w:rsidRPr="004E1758">
        <w:rPr>
          <w:rFonts w:ascii="Times New Roman" w:hAnsi="Times New Roman" w:cs="Times New Roman"/>
        </w:rPr>
        <w:t>trade—</w:t>
      </w:r>
      <w:proofErr w:type="gramEnd"/>
      <w:r w:rsidRPr="004E1758">
        <w:rPr>
          <w:rFonts w:ascii="Times New Roman" w:hAnsi="Times New Roman" w:cs="Times New Roman"/>
        </w:rPr>
        <w:t>intensify the impact of foreign price shocks. Studies by Alom et al. (2013) using SVAR models have demonstrated that these price shocks lead not only to direct economic volatility in developing countries but also to broader macroeconomic instability through imported inflation, which reduces consumer purchasing power.</w:t>
      </w:r>
    </w:p>
    <w:p w14:paraId="0E45C487" w14:textId="77777777" w:rsidR="004E1758" w:rsidRPr="004E1758" w:rsidRDefault="004E1758" w:rsidP="004E1758">
      <w:pPr>
        <w:rPr>
          <w:rFonts w:ascii="Times New Roman" w:hAnsi="Times New Roman" w:cs="Times New Roman"/>
        </w:rPr>
      </w:pPr>
    </w:p>
    <w:p w14:paraId="25913601"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Ghana serves as a prime example of this vulnerability. As an importer of refined petroleum products, Ghana's domestic fuel prices depend heavily on movements in international crude </w:t>
      </w:r>
      <w:r w:rsidRPr="004E1758">
        <w:rPr>
          <w:rFonts w:ascii="Times New Roman" w:hAnsi="Times New Roman" w:cs="Times New Roman"/>
        </w:rPr>
        <w:lastRenderedPageBreak/>
        <w:t>oil prices and the exchange rate between the Ghana cedi and the US dollar. The National Petroleum Authority (NPA), which oversees the downstream petroleum sector, fixes bi-weekly petrol, diesel, and LPG prices based on a price build-up formula considering international benchmark prices and exchange rates (National Petroleum Authority [NPA], 2023). A depreciation of the cedi—which declined by 29.9% against the US dollar in 2022 alone—combined with increased crude oil prices due to global conflicts, creates severe domestic price shocks. This sharp increase in global fuel prices caused domestic fuel prices to reach unprecedented levels, creating immense pressure on individuals and companies in Ghana (Bank of Ghana, 2023).</w:t>
      </w:r>
    </w:p>
    <w:p w14:paraId="4ED1785D" w14:textId="77777777" w:rsidR="004E1758" w:rsidRPr="004E1758" w:rsidRDefault="004E1758" w:rsidP="004E1758">
      <w:pPr>
        <w:rPr>
          <w:rFonts w:ascii="Times New Roman" w:hAnsi="Times New Roman" w:cs="Times New Roman"/>
        </w:rPr>
      </w:pPr>
    </w:p>
    <w:p w14:paraId="550363DF"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The interaction between fuel prices and inflation in Ghana introduces another layer of complexity. Higher fuel prices elevate production and distribution costs across virtually all industries, creating cost-push inflation. Because Ghana depends heavily on imported petroleum products, exchange rate depreciation creates additional amplification, driving up the domestic cost of fuel (Bawa et al., 2016). Inflationary pressures, in turn, affect consumer behavior and prompt monetary policy shifts, forming feedback loops. As a result, the effect of inflation on fuel prices is bidirectional; fuel prices, inflation, exchange rates, and crude oil prices must be considered together in a simultaneous multivariate time series (Hamilton, 2009).</w:t>
      </w:r>
    </w:p>
    <w:p w14:paraId="7E1B44EA" w14:textId="77777777" w:rsidR="004E1758" w:rsidRPr="004E1758" w:rsidRDefault="004E1758" w:rsidP="004E1758">
      <w:pPr>
        <w:rPr>
          <w:rFonts w:ascii="Times New Roman" w:hAnsi="Times New Roman" w:cs="Times New Roman"/>
        </w:rPr>
      </w:pPr>
    </w:p>
    <w:p w14:paraId="772FBC37"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Despite the economic importance of fuel price dynamics in Ghana, empirical literature on fuel price forecasting in the country remains underdeveloped. Most time series forecasting research in the sub-region focuses on broad commodity prices or general inflation indices rather than specific petroleum products (Addae &amp; Ackah, 2017; Bawa et al., 2016). Crucially, very few studies consider how external factors—specifically exchange rate shocks, international crude oil price movements, and inflationary dynamics—affect the accuracy of fuel price forecasts. Time series models that ignore these external shocks may perform adequately under calm economic conditions but rapidly lose their predictive power during periods of economic crisis, which is precisely when accurate forecasting is most vital (Kilian, 2009).</w:t>
      </w:r>
    </w:p>
    <w:p w14:paraId="7D5489E1" w14:textId="77777777" w:rsidR="004E1758" w:rsidRPr="004E1758" w:rsidRDefault="004E1758" w:rsidP="004E1758">
      <w:pPr>
        <w:rPr>
          <w:rFonts w:ascii="Times New Roman" w:hAnsi="Times New Roman" w:cs="Times New Roman"/>
        </w:rPr>
      </w:pPr>
    </w:p>
    <w:p w14:paraId="2F3A7F57"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This study aims to address this gap by developing and testing time series models for forecasting petrol, diesel, and LPG prices in Ghana, specifically evaluating exchange rate shocks, crude oil price movements, and inflationary dynamics as critical predictors of forecast performance.</w:t>
      </w:r>
    </w:p>
    <w:p w14:paraId="7233F728" w14:textId="77777777" w:rsidR="004E1758" w:rsidRPr="004E1758" w:rsidRDefault="004E1758" w:rsidP="004E1758">
      <w:pPr>
        <w:rPr>
          <w:rFonts w:ascii="Times New Roman" w:hAnsi="Times New Roman" w:cs="Times New Roman"/>
        </w:rPr>
      </w:pPr>
    </w:p>
    <w:p w14:paraId="4E9DAF78"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1.2 Problem Statement</w:t>
      </w:r>
    </w:p>
    <w:p w14:paraId="126164D7"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The prices of fuels in Ghana have remained highly volatile throughout the last ten years due to a combination of external and internal factors, namely fluctuating international crude oil </w:t>
      </w:r>
      <w:r w:rsidRPr="004E1758">
        <w:rPr>
          <w:rFonts w:ascii="Times New Roman" w:hAnsi="Times New Roman" w:cs="Times New Roman"/>
        </w:rPr>
        <w:lastRenderedPageBreak/>
        <w:t>prices, progressive depreciation of the Ghana cedi against the US dollar, and rising domestic inflation. This volatility has been exceptionally severe in recent years. Between the end of 2021 and the end of 2022, the price of petrol increased from ¢6.66 to ¢16.58 per liter (an increase of approximately 149%), while the diesel price increased from ¢6.67 to ¢19.61 per liter (an increase of about 194%) (Bank of Ghana, 2023). This rapid price escalation occurred concurrently with a 29.9% depreciation of the Ghana cedi against the US dollar and a surge in headline inflation to 54.1% by December 2022 (Ghana Statistical Service, 2023). Because fuel prices heavily influence the cost of transport services, food prices, industrial production, and public expenditure, this volatility imposes considerable financial pressure on Ghanaian households, businesses, and public institutions. Forecasting fuel price movements with reasonable precision over a six-month horizon would provide a highly valuable early warning system for consumers and policymakers.</w:t>
      </w:r>
    </w:p>
    <w:p w14:paraId="3D664234" w14:textId="77777777" w:rsidR="004E1758" w:rsidRPr="004E1758" w:rsidRDefault="004E1758" w:rsidP="004E1758">
      <w:pPr>
        <w:rPr>
          <w:rFonts w:ascii="Times New Roman" w:hAnsi="Times New Roman" w:cs="Times New Roman"/>
        </w:rPr>
      </w:pPr>
    </w:p>
    <w:p w14:paraId="1706A447"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A distinct characteristic of fuel pricing in Ghana is the Unified Pricing Formula (UPF) implemented by the National Petroleum Authority. The UPF calculates ex-pump fuel prices by aggregating international costs, exchange rate fluctuations, taxes, levies, and margins payable to Bulk Distribution Companies (BDCs) and Oil Marketing Companies (OMCs) (National Petroleum Authority [NPA], 2023). Because Ghanaian fuel prices are administratively determined based on international benchmarks rather than pure domestic supply and demand, they cannot be modeled using the exact same frameworks applied to fully deregulated energy markets.</w:t>
      </w:r>
    </w:p>
    <w:p w14:paraId="74D8F408" w14:textId="77777777" w:rsidR="004E1758" w:rsidRPr="004E1758" w:rsidRDefault="004E1758" w:rsidP="004E1758">
      <w:pPr>
        <w:rPr>
          <w:rFonts w:ascii="Times New Roman" w:hAnsi="Times New Roman" w:cs="Times New Roman"/>
        </w:rPr>
      </w:pPr>
    </w:p>
    <w:p w14:paraId="4216D89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Despite the critical need for fuel price stability in Ghana's economy, empirical studies focused specifically on forecasting domestic ex-pump petroleum prices are scarce. Existing research on African fuel price dynamics predominantly concentrates on international crude oil prices (Alom et al., 2013; Baumeister &amp; Kilian, 2014), while studies focused on Ghana tend to analyze either inflation dynamics or general commodity prices (Addae &amp; Ackah, 2017; Bawa et al., 2016). Accurately predicting domestic petroleum prices in Ghana requires a targeted approach, as international crude oil prices alone cannot account for the added volatility introduced by exchange rate movements, import costs, and local taxation.</w:t>
      </w:r>
    </w:p>
    <w:p w14:paraId="01809C56" w14:textId="77777777" w:rsidR="004E1758" w:rsidRPr="004E1758" w:rsidRDefault="004E1758" w:rsidP="004E1758">
      <w:pPr>
        <w:rPr>
          <w:rFonts w:ascii="Times New Roman" w:hAnsi="Times New Roman" w:cs="Times New Roman"/>
        </w:rPr>
      </w:pPr>
    </w:p>
    <w:p w14:paraId="3DFA438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Furthermore, while the Ghanaian market's reliance on exchange rates necessitates multivariate modeling, </w:t>
      </w:r>
      <w:proofErr w:type="gramStart"/>
      <w:r w:rsidRPr="004E1758">
        <w:rPr>
          <w:rFonts w:ascii="Times New Roman" w:hAnsi="Times New Roman" w:cs="Times New Roman"/>
        </w:rPr>
        <w:t>the majority of</w:t>
      </w:r>
      <w:proofErr w:type="gramEnd"/>
      <w:r w:rsidRPr="004E1758">
        <w:rPr>
          <w:rFonts w:ascii="Times New Roman" w:hAnsi="Times New Roman" w:cs="Times New Roman"/>
        </w:rPr>
        <w:t xml:space="preserve"> existing research on energy price forecasting in Sub-Saharan Africa relies on univariate time series models, such as standard ARIMA (</w:t>
      </w:r>
      <w:proofErr w:type="spellStart"/>
      <w:r w:rsidRPr="004E1758">
        <w:rPr>
          <w:rFonts w:ascii="Times New Roman" w:hAnsi="Times New Roman" w:cs="Times New Roman"/>
        </w:rPr>
        <w:t>Jammazi</w:t>
      </w:r>
      <w:proofErr w:type="spellEnd"/>
      <w:r w:rsidRPr="004E1758">
        <w:rPr>
          <w:rFonts w:ascii="Times New Roman" w:hAnsi="Times New Roman" w:cs="Times New Roman"/>
        </w:rPr>
        <w:t xml:space="preserve"> &amp; Aloui, 2012). Univariate models, which account only for internal price history, are highly susceptible to forecast bias during periods of external macroeconomic turbulence. There is a clear methodological gap regarding the comparison of univariate and multivariate models for fuel price series in Ghana, particularly concerning the explicit testing of external shocks on forecast accuracy.</w:t>
      </w:r>
    </w:p>
    <w:p w14:paraId="44FDFD18" w14:textId="77777777" w:rsidR="004E1758" w:rsidRPr="004E1758" w:rsidRDefault="004E1758" w:rsidP="004E1758">
      <w:pPr>
        <w:rPr>
          <w:rFonts w:ascii="Times New Roman" w:hAnsi="Times New Roman" w:cs="Times New Roman"/>
        </w:rPr>
      </w:pPr>
    </w:p>
    <w:p w14:paraId="348D87E2" w14:textId="5EE35F9A" w:rsidR="00846656" w:rsidRDefault="004E1758" w:rsidP="004E1758">
      <w:pPr>
        <w:rPr>
          <w:rFonts w:ascii="Times New Roman" w:hAnsi="Times New Roman" w:cs="Times New Roman"/>
        </w:rPr>
      </w:pPr>
      <w:r w:rsidRPr="004E1758">
        <w:rPr>
          <w:rFonts w:ascii="Times New Roman" w:hAnsi="Times New Roman" w:cs="Times New Roman"/>
        </w:rPr>
        <w:lastRenderedPageBreak/>
        <w:t>This study seeks to fill this gap by developing, comparing, and evaluating univariate and multivariate time series models (ARIMA, ARIMAX, and VAR) for forecasting retail prices of petrol, diesel, and LPG in Ghana. Utilizing monthly data obtained from the National Petroleum Authority and the Bank of Ghana, the study will assess the extent to which incorporating exchange rate shocks, crude oil price movements, and inflationary dynamics improves forecast accuracy.</w:t>
      </w:r>
    </w:p>
    <w:p w14:paraId="0E7B5940" w14:textId="77777777" w:rsidR="004E1758" w:rsidRDefault="004E1758" w:rsidP="004E1758">
      <w:pPr>
        <w:rPr>
          <w:rFonts w:ascii="Times New Roman" w:hAnsi="Times New Roman" w:cs="Times New Roman"/>
        </w:rPr>
      </w:pPr>
    </w:p>
    <w:p w14:paraId="569BA56F"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1.3 Objectives</w:t>
      </w:r>
    </w:p>
    <w:p w14:paraId="2C267A81"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Main Objective</w:t>
      </w:r>
    </w:p>
    <w:p w14:paraId="5B365EE9"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To evaluate the forecasting accuracy of ARIMA, ARIMAX, and VAR models in predicting fuel prices in Ghana over a 1–</w:t>
      </w:r>
      <w:proofErr w:type="gramStart"/>
      <w:r w:rsidRPr="004E1758">
        <w:rPr>
          <w:rFonts w:ascii="Times New Roman" w:hAnsi="Times New Roman" w:cs="Times New Roman"/>
        </w:rPr>
        <w:t>6 month</w:t>
      </w:r>
      <w:proofErr w:type="gramEnd"/>
      <w:r w:rsidRPr="004E1758">
        <w:rPr>
          <w:rFonts w:ascii="Times New Roman" w:hAnsi="Times New Roman" w:cs="Times New Roman"/>
        </w:rPr>
        <w:t xml:space="preserve"> horizon, with an emphasis on the role of external shocks in determining model performance.</w:t>
      </w:r>
    </w:p>
    <w:p w14:paraId="4FE3E563" w14:textId="77777777" w:rsidR="004E1758" w:rsidRPr="004E1758" w:rsidRDefault="004E1758" w:rsidP="004E1758">
      <w:pPr>
        <w:rPr>
          <w:rFonts w:ascii="Times New Roman" w:hAnsi="Times New Roman" w:cs="Times New Roman"/>
        </w:rPr>
      </w:pPr>
    </w:p>
    <w:p w14:paraId="74E3F183"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Specific Objectives</w:t>
      </w:r>
    </w:p>
    <w:p w14:paraId="67B513AB" w14:textId="77777777" w:rsidR="004E1758" w:rsidRPr="004E1758" w:rsidRDefault="004E1758" w:rsidP="004E1758">
      <w:pPr>
        <w:rPr>
          <w:rFonts w:ascii="Times New Roman" w:hAnsi="Times New Roman" w:cs="Times New Roman"/>
        </w:rPr>
      </w:pPr>
    </w:p>
    <w:p w14:paraId="28C06250"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To </w:t>
      </w:r>
      <w:proofErr w:type="spellStart"/>
      <w:r w:rsidRPr="004E1758">
        <w:rPr>
          <w:rFonts w:ascii="Times New Roman" w:hAnsi="Times New Roman" w:cs="Times New Roman"/>
        </w:rPr>
        <w:t>analyse</w:t>
      </w:r>
      <w:proofErr w:type="spellEnd"/>
      <w:r w:rsidRPr="004E1758">
        <w:rPr>
          <w:rFonts w:ascii="Times New Roman" w:hAnsi="Times New Roman" w:cs="Times New Roman"/>
        </w:rPr>
        <w:t xml:space="preserve"> the statistical properties and trends of petrol, diesel, and LPG prices in Ghana over the period 2013–2023.</w:t>
      </w:r>
    </w:p>
    <w:p w14:paraId="77884CB5" w14:textId="77777777" w:rsidR="004E1758" w:rsidRPr="004E1758" w:rsidRDefault="004E1758" w:rsidP="004E1758">
      <w:pPr>
        <w:rPr>
          <w:rFonts w:ascii="Times New Roman" w:hAnsi="Times New Roman" w:cs="Times New Roman"/>
        </w:rPr>
      </w:pPr>
    </w:p>
    <w:p w14:paraId="42F3BE0E"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To develop ARIMA, ARIMAX, and VAR models for forecasting fuel prices, incorporating the exchange rate (GHS/USD), Brent crude oil prices, and inflation (CPI) as relevant external variables.</w:t>
      </w:r>
    </w:p>
    <w:p w14:paraId="1BCEF422" w14:textId="77777777" w:rsidR="004E1758" w:rsidRPr="004E1758" w:rsidRDefault="004E1758" w:rsidP="004E1758">
      <w:pPr>
        <w:rPr>
          <w:rFonts w:ascii="Times New Roman" w:hAnsi="Times New Roman" w:cs="Times New Roman"/>
        </w:rPr>
      </w:pPr>
    </w:p>
    <w:p w14:paraId="6D78760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To assess the influence of exchange rate and Brent crude oil shocks on fuel price movements in Ghana using Granger causality tests.</w:t>
      </w:r>
    </w:p>
    <w:p w14:paraId="41557EF4" w14:textId="77777777" w:rsidR="004E1758" w:rsidRPr="004E1758" w:rsidRDefault="004E1758" w:rsidP="004E1758">
      <w:pPr>
        <w:rPr>
          <w:rFonts w:ascii="Times New Roman" w:hAnsi="Times New Roman" w:cs="Times New Roman"/>
        </w:rPr>
      </w:pPr>
    </w:p>
    <w:p w14:paraId="07F43355"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To compare the forecasting accuracy of the three models across 1–</w:t>
      </w:r>
      <w:proofErr w:type="gramStart"/>
      <w:r w:rsidRPr="004E1758">
        <w:rPr>
          <w:rFonts w:ascii="Times New Roman" w:hAnsi="Times New Roman" w:cs="Times New Roman"/>
        </w:rPr>
        <w:t>6 month</w:t>
      </w:r>
      <w:proofErr w:type="gramEnd"/>
      <w:r w:rsidRPr="004E1758">
        <w:rPr>
          <w:rFonts w:ascii="Times New Roman" w:hAnsi="Times New Roman" w:cs="Times New Roman"/>
        </w:rPr>
        <w:t xml:space="preserve"> forecast horizons using RMSE, MAE, MAPE, and the Diebold-Mariano test.</w:t>
      </w:r>
    </w:p>
    <w:p w14:paraId="3E61EB71" w14:textId="77777777" w:rsidR="004E1758" w:rsidRPr="004E1758" w:rsidRDefault="004E1758" w:rsidP="004E1758">
      <w:pPr>
        <w:rPr>
          <w:rFonts w:ascii="Times New Roman" w:hAnsi="Times New Roman" w:cs="Times New Roman"/>
        </w:rPr>
      </w:pPr>
    </w:p>
    <w:p w14:paraId="4D92244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To evaluate the practical utility of the models in providing 1–</w:t>
      </w:r>
      <w:proofErr w:type="gramStart"/>
      <w:r w:rsidRPr="004E1758">
        <w:rPr>
          <w:rFonts w:ascii="Times New Roman" w:hAnsi="Times New Roman" w:cs="Times New Roman"/>
        </w:rPr>
        <w:t>6 month</w:t>
      </w:r>
      <w:proofErr w:type="gramEnd"/>
      <w:r w:rsidRPr="004E1758">
        <w:rPr>
          <w:rFonts w:ascii="Times New Roman" w:hAnsi="Times New Roman" w:cs="Times New Roman"/>
        </w:rPr>
        <w:t xml:space="preserve"> advance warning of fuel price changes to consumers and policymakers in Ghana.</w:t>
      </w:r>
    </w:p>
    <w:p w14:paraId="7A872DB4" w14:textId="77777777" w:rsidR="004E1758" w:rsidRPr="004E1758" w:rsidRDefault="004E1758" w:rsidP="004E1758">
      <w:pPr>
        <w:rPr>
          <w:rFonts w:ascii="Times New Roman" w:hAnsi="Times New Roman" w:cs="Times New Roman"/>
        </w:rPr>
      </w:pPr>
    </w:p>
    <w:p w14:paraId="2EF15824"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1.4 Significance of the Study</w:t>
      </w:r>
    </w:p>
    <w:p w14:paraId="7BCF1964"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lastRenderedPageBreak/>
        <w:t>The findings of this study will be of interest to various stakeholders such as policymakers, consumers, regulatory bodies, and the academic community. In particular, the paper offers the following contributions:</w:t>
      </w:r>
    </w:p>
    <w:p w14:paraId="530E19FF" w14:textId="77777777" w:rsidR="004E1758" w:rsidRPr="004E1758" w:rsidRDefault="004E1758" w:rsidP="004E1758">
      <w:pPr>
        <w:rPr>
          <w:rFonts w:ascii="Times New Roman" w:hAnsi="Times New Roman" w:cs="Times New Roman"/>
        </w:rPr>
      </w:pPr>
    </w:p>
    <w:p w14:paraId="5F083176"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Policymakers and Government Agencies: The forecasting models developed in this study provide an empirical tool to assist proactive fiscal and energy policy decisions. By anticipating movements in fuel prices, government agencies can design timely interventions to cushion the economy against the adverse effects of price volatility.</w:t>
      </w:r>
    </w:p>
    <w:p w14:paraId="585E764D" w14:textId="77777777" w:rsidR="004E1758" w:rsidRPr="004E1758" w:rsidRDefault="004E1758" w:rsidP="004E1758">
      <w:pPr>
        <w:rPr>
          <w:rFonts w:ascii="Times New Roman" w:hAnsi="Times New Roman" w:cs="Times New Roman"/>
        </w:rPr>
      </w:pPr>
    </w:p>
    <w:p w14:paraId="3AED3A2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The National Petroleum Authority (NPA): As the regulatory body responsible for fuel pricing in Ghana, the NPA stands to benefit directly from accurate short-term forecasts. These forecasts can help inform changes to the Unified Pricing Formula and allow for more transparent and data-driven pricing decisions.</w:t>
      </w:r>
    </w:p>
    <w:p w14:paraId="39DD676D" w14:textId="77777777" w:rsidR="004E1758" w:rsidRPr="004E1758" w:rsidRDefault="004E1758" w:rsidP="004E1758">
      <w:pPr>
        <w:rPr>
          <w:rFonts w:ascii="Times New Roman" w:hAnsi="Times New Roman" w:cs="Times New Roman"/>
        </w:rPr>
      </w:pPr>
    </w:p>
    <w:p w14:paraId="7DD59856"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Consumers and Households: Advance notice of changes in fuel prices provides households and firms with the opportunity to better plan their expenditure, especially since the cost of fuel directly affects the prices of goods, transportation, and other essential services.</w:t>
      </w:r>
    </w:p>
    <w:p w14:paraId="06420FFC" w14:textId="77777777" w:rsidR="004E1758" w:rsidRPr="004E1758" w:rsidRDefault="004E1758" w:rsidP="004E1758">
      <w:pPr>
        <w:rPr>
          <w:rFonts w:ascii="Times New Roman" w:hAnsi="Times New Roman" w:cs="Times New Roman"/>
        </w:rPr>
      </w:pPr>
    </w:p>
    <w:p w14:paraId="2F6BEA06"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Researchers and Academics: The study adds to the growing literature on time series forecasting in developing economies. The comparative framework employing ARIMA, ARIMAX, and VAR models in a unified Ghanaian setting offers a methodological reference for future research on commodity price forecasting in Sub-Saharan Africa.</w:t>
      </w:r>
    </w:p>
    <w:p w14:paraId="59FDB9DA" w14:textId="77777777" w:rsidR="004E1758" w:rsidRPr="004E1758" w:rsidRDefault="004E1758" w:rsidP="004E1758">
      <w:pPr>
        <w:rPr>
          <w:rFonts w:ascii="Times New Roman" w:hAnsi="Times New Roman" w:cs="Times New Roman"/>
        </w:rPr>
      </w:pPr>
    </w:p>
    <w:p w14:paraId="75CFB995"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Bulk Distribution Companies (BDCs): Fuel distributors can use price forecasts for procurement, inventory management, and pricing strategies, thereby reducing their exposure to supply-side shocks.</w:t>
      </w:r>
    </w:p>
    <w:p w14:paraId="3D0F7DB8" w14:textId="77777777" w:rsidR="004E1758" w:rsidRPr="004E1758" w:rsidRDefault="004E1758" w:rsidP="004E1758">
      <w:pPr>
        <w:rPr>
          <w:rFonts w:ascii="Times New Roman" w:hAnsi="Times New Roman" w:cs="Times New Roman"/>
        </w:rPr>
      </w:pPr>
    </w:p>
    <w:p w14:paraId="1656C799"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1.5 Methodology Overview</w:t>
      </w:r>
    </w:p>
    <w:p w14:paraId="1A340490"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The study is based on secondary data collected from four primary sources. Monthly fuel prices for petrol, diesel, and LPG were obtained from the National Petroleum Authority (NPA) of Ghana. Exchange rate data (GHS/USD) were sourced from the Bank of Ghana, and Brent crude oil price data were acquired from the U.S. Energy Information Administration (EIA). Data on inflation, measured by the Consumer Price Index (CPI), were obtained from the Ghana Statistical Service (GSS). The study utilizes a monthly time series from January 2013 to December 2023, yielding 132 observations for each variable.</w:t>
      </w:r>
    </w:p>
    <w:p w14:paraId="589FC2D5" w14:textId="77777777" w:rsidR="004E1758" w:rsidRPr="004E1758" w:rsidRDefault="004E1758" w:rsidP="004E1758">
      <w:pPr>
        <w:rPr>
          <w:rFonts w:ascii="Times New Roman" w:hAnsi="Times New Roman" w:cs="Times New Roman"/>
        </w:rPr>
      </w:pPr>
    </w:p>
    <w:p w14:paraId="040239E7"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lastRenderedPageBreak/>
        <w:t xml:space="preserve">Fuel prices were forecasted using </w:t>
      </w:r>
      <w:proofErr w:type="gramStart"/>
      <w:r w:rsidRPr="004E1758">
        <w:rPr>
          <w:rFonts w:ascii="Times New Roman" w:hAnsi="Times New Roman" w:cs="Times New Roman"/>
        </w:rPr>
        <w:t>three time</w:t>
      </w:r>
      <w:proofErr w:type="gramEnd"/>
      <w:r w:rsidRPr="004E1758">
        <w:rPr>
          <w:rFonts w:ascii="Times New Roman" w:hAnsi="Times New Roman" w:cs="Times New Roman"/>
        </w:rPr>
        <w:t xml:space="preserve"> series models. As a univariate baseline model, we first fitted an autoregressive integrated moving average (ARIMA) model to each fuel price series. Secondly, an ARIMAX model was developed incorporating the exchange rate and Brent crude oil prices as external regressors to capture the effect of external shocks on fuel prices. Third, we estimated a Vector Autoregression (VAR) model to jointly model fuel prices with the exchange rate, Brent crude oil prices, and inflation (CPI), allowing for dynamic interactions among all variables.</w:t>
      </w:r>
    </w:p>
    <w:p w14:paraId="64740232" w14:textId="77777777" w:rsidR="004E1758" w:rsidRPr="004E1758" w:rsidRDefault="004E1758" w:rsidP="004E1758">
      <w:pPr>
        <w:rPr>
          <w:rFonts w:ascii="Times New Roman" w:hAnsi="Times New Roman" w:cs="Times New Roman"/>
        </w:rPr>
      </w:pPr>
    </w:p>
    <w:p w14:paraId="5185299B"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Before the estimation of the models, all series were tested for stationarity using the Augmented Dickey-Fuller (ADF) test. Forecast accuracy was evaluated using standard metrics, including the Root Mean Square Error (RMSE), Mean Absolute Error (MAE), and Mean Absolute Percentage Error (MAPE).</w:t>
      </w:r>
    </w:p>
    <w:p w14:paraId="7C99F94B" w14:textId="77777777" w:rsidR="004E1758" w:rsidRPr="004E1758" w:rsidRDefault="004E1758" w:rsidP="004E1758">
      <w:pPr>
        <w:rPr>
          <w:rFonts w:ascii="Times New Roman" w:hAnsi="Times New Roman" w:cs="Times New Roman"/>
        </w:rPr>
      </w:pPr>
    </w:p>
    <w:p w14:paraId="39FDB838"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All data processing, model estimation, and forecast evaluations were performed in Python (version 3.12.5). The libraries used include </w:t>
      </w:r>
      <w:proofErr w:type="spellStart"/>
      <w:r w:rsidRPr="004E1758">
        <w:rPr>
          <w:rFonts w:ascii="Times New Roman" w:hAnsi="Times New Roman" w:cs="Times New Roman"/>
        </w:rPr>
        <w:t>statsmodels</w:t>
      </w:r>
      <w:proofErr w:type="spellEnd"/>
      <w:r w:rsidRPr="004E1758">
        <w:rPr>
          <w:rFonts w:ascii="Times New Roman" w:hAnsi="Times New Roman" w:cs="Times New Roman"/>
        </w:rPr>
        <w:t xml:space="preserve"> (Seabold &amp; </w:t>
      </w:r>
      <w:proofErr w:type="spellStart"/>
      <w:r w:rsidRPr="004E1758">
        <w:rPr>
          <w:rFonts w:ascii="Times New Roman" w:hAnsi="Times New Roman" w:cs="Times New Roman"/>
        </w:rPr>
        <w:t>Perktold</w:t>
      </w:r>
      <w:proofErr w:type="spellEnd"/>
      <w:r w:rsidRPr="004E1758">
        <w:rPr>
          <w:rFonts w:ascii="Times New Roman" w:hAnsi="Times New Roman" w:cs="Times New Roman"/>
        </w:rPr>
        <w:t xml:space="preserve">, 2010) for the estimation of the ARIMA, ARIMAX, and VAR models; pandas (McKinney, 2010) for data manipulation; and matplotlib (Hunter, 2007) and seaborn (Waskom, 2021) for graphical visualization. Model diagnostic tests and forecast accuracy measures were calculated using built-in functions from the </w:t>
      </w:r>
      <w:proofErr w:type="spellStart"/>
      <w:r w:rsidRPr="004E1758">
        <w:rPr>
          <w:rFonts w:ascii="Times New Roman" w:hAnsi="Times New Roman" w:cs="Times New Roman"/>
        </w:rPr>
        <w:t>statsmodels</w:t>
      </w:r>
      <w:proofErr w:type="spellEnd"/>
      <w:r w:rsidRPr="004E1758">
        <w:rPr>
          <w:rFonts w:ascii="Times New Roman" w:hAnsi="Times New Roman" w:cs="Times New Roman"/>
        </w:rPr>
        <w:t xml:space="preserve"> and scikit-learn (Pedregosa et al., 2011) libraries.</w:t>
      </w:r>
    </w:p>
    <w:p w14:paraId="55910D7D" w14:textId="77777777" w:rsidR="004E1758" w:rsidRPr="004E1758" w:rsidRDefault="004E1758" w:rsidP="004E1758">
      <w:pPr>
        <w:rPr>
          <w:rFonts w:ascii="Times New Roman" w:hAnsi="Times New Roman" w:cs="Times New Roman"/>
        </w:rPr>
      </w:pPr>
    </w:p>
    <w:p w14:paraId="38BF69C0"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1.6 </w:t>
      </w:r>
      <w:proofErr w:type="spellStart"/>
      <w:r w:rsidRPr="004E1758">
        <w:rPr>
          <w:rFonts w:ascii="Times New Roman" w:hAnsi="Times New Roman" w:cs="Times New Roman"/>
        </w:rPr>
        <w:t>Organisation</w:t>
      </w:r>
      <w:proofErr w:type="spellEnd"/>
      <w:r w:rsidRPr="004E1758">
        <w:rPr>
          <w:rFonts w:ascii="Times New Roman" w:hAnsi="Times New Roman" w:cs="Times New Roman"/>
        </w:rPr>
        <w:t xml:space="preserve"> of the Study</w:t>
      </w:r>
    </w:p>
    <w:p w14:paraId="2248AF76"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The study is organized into five chapters. Chapter One provides the background of the study, the problem statement, objectives, the significance of the study, a brief overview of the methodology, and the organization of the study. Chapter Two presents a review of relevant literature, encompassing theoretical frameworks and empirical studies relevant to fuel price dynamics, time series forecasting, and the application of ARIMA, ARIMAX, and VAR models in commodity price forecasting. Chapter Three describes the methodology used for the study, detailing data sources, variable descriptions, model specifications, stationarity testing procedures, and forecast evaluation criteria. Chapter Four presents and discusses the results of the data analysis, including descriptive statistics, model estimation outputs, forecast performance, and a comparative evaluation of the three models. Finally, Chapter Five summarizes the key findings, draws conclusions, and offers recommendations for policymakers, regulatory authorities, and future researchers.</w:t>
      </w:r>
    </w:p>
    <w:p w14:paraId="59800AFF" w14:textId="77777777" w:rsidR="004E1758" w:rsidRPr="004E1758" w:rsidRDefault="004E1758" w:rsidP="004E1758">
      <w:pPr>
        <w:rPr>
          <w:rFonts w:ascii="Times New Roman" w:hAnsi="Times New Roman" w:cs="Times New Roman"/>
        </w:rPr>
      </w:pPr>
    </w:p>
    <w:p w14:paraId="2032BD45"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REFERENCES</w:t>
      </w:r>
    </w:p>
    <w:p w14:paraId="5593B15E"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Addae, E., &amp; Ackah, I. (2017). Inflation dynamics in pre and post deregulation era in Ghana: Do petroleum prices have any influence? MPRA Paper 77496. University Library of Munich. https://mpra.ub.uni-muenchen.de/77496/</w:t>
      </w:r>
    </w:p>
    <w:p w14:paraId="1E0850EC" w14:textId="77777777" w:rsidR="004E1758" w:rsidRPr="004E1758" w:rsidRDefault="004E1758" w:rsidP="004E1758">
      <w:pPr>
        <w:rPr>
          <w:rFonts w:ascii="Times New Roman" w:hAnsi="Times New Roman" w:cs="Times New Roman"/>
        </w:rPr>
      </w:pPr>
    </w:p>
    <w:p w14:paraId="4015252E"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Alom, F., Ward, B. D., &amp; Hu, B. (2013). Macroeconomic effects of world oil and food price shocks in Asia and Pacific economies: Application of SVAR models. OPEC Energy Review, 37(3), 327–372. https://doi.org/10.1111/opec.12015</w:t>
      </w:r>
    </w:p>
    <w:p w14:paraId="06403F70" w14:textId="77777777" w:rsidR="004E1758" w:rsidRPr="004E1758" w:rsidRDefault="004E1758" w:rsidP="004E1758">
      <w:pPr>
        <w:rPr>
          <w:rFonts w:ascii="Times New Roman" w:hAnsi="Times New Roman" w:cs="Times New Roman"/>
        </w:rPr>
      </w:pPr>
    </w:p>
    <w:p w14:paraId="69CE6A7A"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Bank of Ghana. (2023). Annual report 2022. Bank of Ghana. https://www.bog.gov.gh/wp-content/uploads/2023/07/Annual-Report-2022.pdf</w:t>
      </w:r>
    </w:p>
    <w:p w14:paraId="2ED7AC67" w14:textId="77777777" w:rsidR="004E1758" w:rsidRPr="004E1758" w:rsidRDefault="004E1758" w:rsidP="004E1758">
      <w:pPr>
        <w:rPr>
          <w:rFonts w:ascii="Times New Roman" w:hAnsi="Times New Roman" w:cs="Times New Roman"/>
        </w:rPr>
      </w:pPr>
    </w:p>
    <w:p w14:paraId="22FDBC58"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Baumeister, C., &amp; Kilian, L. (2014). What central bankers need to know about forecasting oil prices. International Economic Review, 55(3), 869–889. https://doi.org/10.1111/iere.12074</w:t>
      </w:r>
    </w:p>
    <w:p w14:paraId="7B2F3609" w14:textId="77777777" w:rsidR="004E1758" w:rsidRPr="004E1758" w:rsidRDefault="004E1758" w:rsidP="004E1758">
      <w:pPr>
        <w:rPr>
          <w:rFonts w:ascii="Times New Roman" w:hAnsi="Times New Roman" w:cs="Times New Roman"/>
        </w:rPr>
      </w:pPr>
    </w:p>
    <w:p w14:paraId="5D38EEB4"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Bawa, S., Abdullahi, I. S., &amp; Ibrahim, A. (2016). Analysis of inflation dynamics in Nigeria (1981–2015). CBN Journal of Applied Statistics, 7(1b), 255–276. https://dc.cbn.gov.ng/jas/vol7/iss1/12</w:t>
      </w:r>
    </w:p>
    <w:p w14:paraId="6C2A5DE8" w14:textId="77777777" w:rsidR="004E1758" w:rsidRPr="004E1758" w:rsidRDefault="004E1758" w:rsidP="004E1758">
      <w:pPr>
        <w:rPr>
          <w:rFonts w:ascii="Times New Roman" w:hAnsi="Times New Roman" w:cs="Times New Roman"/>
        </w:rPr>
      </w:pPr>
    </w:p>
    <w:p w14:paraId="30618A6A"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Ghana Statistical Service. (2023). Consumer price index: December 2022 report. Author. https://statsghana.gov.gh</w:t>
      </w:r>
    </w:p>
    <w:p w14:paraId="2907C52C" w14:textId="77777777" w:rsidR="004E1758" w:rsidRPr="004E1758" w:rsidRDefault="004E1758" w:rsidP="004E1758">
      <w:pPr>
        <w:rPr>
          <w:rFonts w:ascii="Times New Roman" w:hAnsi="Times New Roman" w:cs="Times New Roman"/>
        </w:rPr>
      </w:pPr>
    </w:p>
    <w:p w14:paraId="2A23F976"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Hamilton, J. D. (2009). Causes and consequences of the oil shock of 2007–08. Brookings Papers on Economic Activity, Spring 2009, 215–261. https://www.brookings.edu/bpea-articles/causes-and-consequences-of-the-oil-shock-of-2007-08</w:t>
      </w:r>
    </w:p>
    <w:p w14:paraId="4125DA7D" w14:textId="77777777" w:rsidR="004E1758" w:rsidRPr="004E1758" w:rsidRDefault="004E1758" w:rsidP="004E1758">
      <w:pPr>
        <w:rPr>
          <w:rFonts w:ascii="Times New Roman" w:hAnsi="Times New Roman" w:cs="Times New Roman"/>
        </w:rPr>
      </w:pPr>
    </w:p>
    <w:p w14:paraId="643BD735"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Hunter, J. D. (2007). Matplotlib: A 2D graphics environment. Computing in Science &amp; Engineering, 9(3), 90–95. https://doi.org/10.1109/MCSE.2007.55</w:t>
      </w:r>
    </w:p>
    <w:p w14:paraId="66BBF860" w14:textId="77777777" w:rsidR="004E1758" w:rsidRPr="004E1758" w:rsidRDefault="004E1758" w:rsidP="004E1758">
      <w:pPr>
        <w:rPr>
          <w:rFonts w:ascii="Times New Roman" w:hAnsi="Times New Roman" w:cs="Times New Roman"/>
        </w:rPr>
      </w:pPr>
    </w:p>
    <w:p w14:paraId="543458D6"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Jammazi, R., &amp; Aloui, C. (2012). Crude oil price forecasting: Experimental evidence from wavelet decomposition and neural network modeling. Energy Economics, 34(3), 828–841. https://doi.org/10.1016/j.eneco.2011.07.018</w:t>
      </w:r>
    </w:p>
    <w:p w14:paraId="7740DB09" w14:textId="77777777" w:rsidR="004E1758" w:rsidRPr="004E1758" w:rsidRDefault="004E1758" w:rsidP="004E1758">
      <w:pPr>
        <w:rPr>
          <w:rFonts w:ascii="Times New Roman" w:hAnsi="Times New Roman" w:cs="Times New Roman"/>
        </w:rPr>
      </w:pPr>
    </w:p>
    <w:p w14:paraId="0E1FEB8C"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Kilian, L. (2009). Not all oil price shocks are alike: Disentangling demand and supply shocks in the crude oil market. American Economic Review, 99(3), 1053–1069. https://doi.org/10.1257/aer.99.3.1053</w:t>
      </w:r>
    </w:p>
    <w:p w14:paraId="799C1653" w14:textId="77777777" w:rsidR="004E1758" w:rsidRPr="004E1758" w:rsidRDefault="004E1758" w:rsidP="004E1758">
      <w:pPr>
        <w:rPr>
          <w:rFonts w:ascii="Times New Roman" w:hAnsi="Times New Roman" w:cs="Times New Roman"/>
        </w:rPr>
      </w:pPr>
    </w:p>
    <w:p w14:paraId="74115E64"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lastRenderedPageBreak/>
        <w:t>McKinney, W. (2010). Data structures for statistical computing in Python. In Proceedings of the 9th Python in Science Conference (pp. 51–56).</w:t>
      </w:r>
    </w:p>
    <w:p w14:paraId="595F266D" w14:textId="77777777" w:rsidR="004E1758" w:rsidRPr="004E1758" w:rsidRDefault="004E1758" w:rsidP="004E1758">
      <w:pPr>
        <w:rPr>
          <w:rFonts w:ascii="Times New Roman" w:hAnsi="Times New Roman" w:cs="Times New Roman"/>
        </w:rPr>
      </w:pPr>
    </w:p>
    <w:p w14:paraId="3252066E"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National Petroleum Authority. (2023). Petroleum pricing formula regulations (L.I. 2186). National Petroleum Authority. https://npa.gov.gh/wp-content/uploads/2023/09/Petroleum-Pricing-Formula-Regulations-LI-2186-1.pdf</w:t>
      </w:r>
    </w:p>
    <w:p w14:paraId="0FCD73D8" w14:textId="77777777" w:rsidR="004E1758" w:rsidRPr="004E1758" w:rsidRDefault="004E1758" w:rsidP="004E1758">
      <w:pPr>
        <w:rPr>
          <w:rFonts w:ascii="Times New Roman" w:hAnsi="Times New Roman" w:cs="Times New Roman"/>
        </w:rPr>
      </w:pPr>
    </w:p>
    <w:p w14:paraId="57E1DCB1"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Pedregosa, F., </w:t>
      </w:r>
      <w:proofErr w:type="spellStart"/>
      <w:r w:rsidRPr="004E1758">
        <w:rPr>
          <w:rFonts w:ascii="Times New Roman" w:hAnsi="Times New Roman" w:cs="Times New Roman"/>
        </w:rPr>
        <w:t>Varoquaux</w:t>
      </w:r>
      <w:proofErr w:type="spellEnd"/>
      <w:r w:rsidRPr="004E1758">
        <w:rPr>
          <w:rFonts w:ascii="Times New Roman" w:hAnsi="Times New Roman" w:cs="Times New Roman"/>
        </w:rPr>
        <w:t xml:space="preserve">, G., </w:t>
      </w:r>
      <w:proofErr w:type="spellStart"/>
      <w:r w:rsidRPr="004E1758">
        <w:rPr>
          <w:rFonts w:ascii="Times New Roman" w:hAnsi="Times New Roman" w:cs="Times New Roman"/>
        </w:rPr>
        <w:t>Gramfort</w:t>
      </w:r>
      <w:proofErr w:type="spellEnd"/>
      <w:r w:rsidRPr="004E1758">
        <w:rPr>
          <w:rFonts w:ascii="Times New Roman" w:hAnsi="Times New Roman" w:cs="Times New Roman"/>
        </w:rPr>
        <w:t xml:space="preserve">, A., Michel, V., Thirion, B., Grisel, O., Blondel, M., </w:t>
      </w:r>
      <w:proofErr w:type="spellStart"/>
      <w:r w:rsidRPr="004E1758">
        <w:rPr>
          <w:rFonts w:ascii="Times New Roman" w:hAnsi="Times New Roman" w:cs="Times New Roman"/>
        </w:rPr>
        <w:t>Prettenhofer</w:t>
      </w:r>
      <w:proofErr w:type="spellEnd"/>
      <w:r w:rsidRPr="004E1758">
        <w:rPr>
          <w:rFonts w:ascii="Times New Roman" w:hAnsi="Times New Roman" w:cs="Times New Roman"/>
        </w:rPr>
        <w:t xml:space="preserve">, P., Weiss, R., </w:t>
      </w:r>
      <w:proofErr w:type="gramStart"/>
      <w:r w:rsidRPr="004E1758">
        <w:rPr>
          <w:rFonts w:ascii="Times New Roman" w:hAnsi="Times New Roman" w:cs="Times New Roman"/>
        </w:rPr>
        <w:t>Dubourg</w:t>
      </w:r>
      <w:proofErr w:type="gramEnd"/>
      <w:r w:rsidRPr="004E1758">
        <w:rPr>
          <w:rFonts w:ascii="Times New Roman" w:hAnsi="Times New Roman" w:cs="Times New Roman"/>
        </w:rPr>
        <w:t xml:space="preserve">, V., Vanderplas, J., Passos, A., </w:t>
      </w:r>
      <w:proofErr w:type="spellStart"/>
      <w:r w:rsidRPr="004E1758">
        <w:rPr>
          <w:rFonts w:ascii="Times New Roman" w:hAnsi="Times New Roman" w:cs="Times New Roman"/>
        </w:rPr>
        <w:t>Cournapeau</w:t>
      </w:r>
      <w:proofErr w:type="spellEnd"/>
      <w:r w:rsidRPr="004E1758">
        <w:rPr>
          <w:rFonts w:ascii="Times New Roman" w:hAnsi="Times New Roman" w:cs="Times New Roman"/>
        </w:rPr>
        <w:t>, D., Brucher, M., Perrot, M., &amp; Duchesnay, E. (2011). Scikit-learn: Machine learning in Python. Journal of Machine Learning Research, 12, 2825–2830.</w:t>
      </w:r>
    </w:p>
    <w:p w14:paraId="0EDC471F" w14:textId="77777777" w:rsidR="004E1758" w:rsidRPr="004E1758" w:rsidRDefault="004E1758" w:rsidP="004E1758">
      <w:pPr>
        <w:rPr>
          <w:rFonts w:ascii="Times New Roman" w:hAnsi="Times New Roman" w:cs="Times New Roman"/>
        </w:rPr>
      </w:pPr>
    </w:p>
    <w:p w14:paraId="33A13B6A"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 xml:space="preserve">Seabold, S., &amp; </w:t>
      </w:r>
      <w:proofErr w:type="spellStart"/>
      <w:r w:rsidRPr="004E1758">
        <w:rPr>
          <w:rFonts w:ascii="Times New Roman" w:hAnsi="Times New Roman" w:cs="Times New Roman"/>
        </w:rPr>
        <w:t>Perktold</w:t>
      </w:r>
      <w:proofErr w:type="spellEnd"/>
      <w:r w:rsidRPr="004E1758">
        <w:rPr>
          <w:rFonts w:ascii="Times New Roman" w:hAnsi="Times New Roman" w:cs="Times New Roman"/>
        </w:rPr>
        <w:t xml:space="preserve">, J. (2010). </w:t>
      </w:r>
      <w:proofErr w:type="spellStart"/>
      <w:r w:rsidRPr="004E1758">
        <w:rPr>
          <w:rFonts w:ascii="Times New Roman" w:hAnsi="Times New Roman" w:cs="Times New Roman"/>
        </w:rPr>
        <w:t>Statsmodels</w:t>
      </w:r>
      <w:proofErr w:type="spellEnd"/>
      <w:r w:rsidRPr="004E1758">
        <w:rPr>
          <w:rFonts w:ascii="Times New Roman" w:hAnsi="Times New Roman" w:cs="Times New Roman"/>
        </w:rPr>
        <w:t>: Econometric and statistical modeling with Python. In Proceedings of the 9th Python in Science Conference (pp. 57–61).</w:t>
      </w:r>
    </w:p>
    <w:p w14:paraId="4B713277" w14:textId="77777777" w:rsidR="004E1758" w:rsidRPr="004E1758" w:rsidRDefault="004E1758" w:rsidP="004E1758">
      <w:pPr>
        <w:rPr>
          <w:rFonts w:ascii="Times New Roman" w:hAnsi="Times New Roman" w:cs="Times New Roman"/>
        </w:rPr>
      </w:pPr>
    </w:p>
    <w:p w14:paraId="50A9DAB8" w14:textId="77777777" w:rsidR="004E1758" w:rsidRPr="004E1758" w:rsidRDefault="004E1758" w:rsidP="004E1758">
      <w:pPr>
        <w:rPr>
          <w:rFonts w:ascii="Times New Roman" w:hAnsi="Times New Roman" w:cs="Times New Roman"/>
        </w:rPr>
      </w:pPr>
      <w:r w:rsidRPr="004E1758">
        <w:rPr>
          <w:rFonts w:ascii="Times New Roman" w:hAnsi="Times New Roman" w:cs="Times New Roman"/>
        </w:rPr>
        <w:t>U.S. Energy Information Administration. (2023). Europe Brent spot price FOB [Data set]. U.S. Energy Information Administration. https://www.eia.gov/dnav/pet/hist/LeafHandler.ashx?n=PET&amp;s=RBRTE&amp;f=M</w:t>
      </w:r>
    </w:p>
    <w:p w14:paraId="1F38965E" w14:textId="77777777" w:rsidR="004E1758" w:rsidRPr="004E1758" w:rsidRDefault="004E1758" w:rsidP="004E1758">
      <w:pPr>
        <w:rPr>
          <w:rFonts w:ascii="Times New Roman" w:hAnsi="Times New Roman" w:cs="Times New Roman"/>
        </w:rPr>
      </w:pPr>
    </w:p>
    <w:p w14:paraId="1916055F" w14:textId="58ED5F9A" w:rsidR="004E1758" w:rsidRDefault="004E1758" w:rsidP="004E1758">
      <w:pPr>
        <w:rPr>
          <w:rFonts w:ascii="Times New Roman" w:hAnsi="Times New Roman" w:cs="Times New Roman"/>
        </w:rPr>
      </w:pPr>
      <w:r w:rsidRPr="004E1758">
        <w:rPr>
          <w:rFonts w:ascii="Times New Roman" w:hAnsi="Times New Roman" w:cs="Times New Roman"/>
        </w:rPr>
        <w:t xml:space="preserve">Waskom, M. L. (2021). Seaborn: Statistical data visualization. Journal of </w:t>
      </w:r>
      <w:proofErr w:type="gramStart"/>
      <w:r w:rsidRPr="004E1758">
        <w:rPr>
          <w:rFonts w:ascii="Times New Roman" w:hAnsi="Times New Roman" w:cs="Times New Roman"/>
        </w:rPr>
        <w:t>Open Source</w:t>
      </w:r>
      <w:proofErr w:type="gramEnd"/>
      <w:r w:rsidRPr="004E1758">
        <w:rPr>
          <w:rFonts w:ascii="Times New Roman" w:hAnsi="Times New Roman" w:cs="Times New Roman"/>
        </w:rPr>
        <w:t xml:space="preserve"> Software, 6(60), 3021. https://doi.org/10.21105/joss.03021</w:t>
      </w:r>
    </w:p>
    <w:p w14:paraId="62B5EDE0" w14:textId="77777777" w:rsidR="00846656" w:rsidRDefault="00846656" w:rsidP="00774EDC">
      <w:pPr>
        <w:rPr>
          <w:rFonts w:ascii="Times New Roman" w:hAnsi="Times New Roman" w:cs="Times New Roman"/>
        </w:rPr>
      </w:pPr>
    </w:p>
    <w:p w14:paraId="05B363C4" w14:textId="77777777" w:rsidR="00846656" w:rsidRDefault="00846656" w:rsidP="00774EDC">
      <w:pPr>
        <w:rPr>
          <w:rFonts w:ascii="Times New Roman" w:hAnsi="Times New Roman" w:cs="Times New Roman"/>
        </w:rPr>
      </w:pPr>
    </w:p>
    <w:p w14:paraId="5C8CE5E6" w14:textId="77777777" w:rsidR="004E7516" w:rsidRDefault="004E7516" w:rsidP="00774EDC">
      <w:pPr>
        <w:rPr>
          <w:rFonts w:ascii="Times New Roman" w:hAnsi="Times New Roman" w:cs="Times New Roman"/>
        </w:rPr>
      </w:pPr>
    </w:p>
    <w:sectPr w:rsidR="004E7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DDB"/>
    <w:multiLevelType w:val="multilevel"/>
    <w:tmpl w:val="69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DFE"/>
    <w:multiLevelType w:val="multilevel"/>
    <w:tmpl w:val="304A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167AD"/>
    <w:multiLevelType w:val="multilevel"/>
    <w:tmpl w:val="320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60BDA"/>
    <w:multiLevelType w:val="multilevel"/>
    <w:tmpl w:val="96B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898999">
    <w:abstractNumId w:val="3"/>
  </w:num>
  <w:num w:numId="2" w16cid:durableId="1900094933">
    <w:abstractNumId w:val="2"/>
  </w:num>
  <w:num w:numId="3" w16cid:durableId="1765958862">
    <w:abstractNumId w:val="0"/>
  </w:num>
  <w:num w:numId="4" w16cid:durableId="759955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8"/>
    <w:rsid w:val="000631D5"/>
    <w:rsid w:val="000C21A2"/>
    <w:rsid w:val="000C4E72"/>
    <w:rsid w:val="000C56F3"/>
    <w:rsid w:val="000C7455"/>
    <w:rsid w:val="00104A6C"/>
    <w:rsid w:val="00110935"/>
    <w:rsid w:val="00122548"/>
    <w:rsid w:val="001D1E58"/>
    <w:rsid w:val="001E3AB1"/>
    <w:rsid w:val="002B5B98"/>
    <w:rsid w:val="00353CFE"/>
    <w:rsid w:val="003A65C8"/>
    <w:rsid w:val="004946AB"/>
    <w:rsid w:val="004A5F81"/>
    <w:rsid w:val="004E1758"/>
    <w:rsid w:val="004E7516"/>
    <w:rsid w:val="00521DF8"/>
    <w:rsid w:val="00525242"/>
    <w:rsid w:val="005B260D"/>
    <w:rsid w:val="005C045F"/>
    <w:rsid w:val="006174C4"/>
    <w:rsid w:val="006437C4"/>
    <w:rsid w:val="00650975"/>
    <w:rsid w:val="0066316A"/>
    <w:rsid w:val="006835EF"/>
    <w:rsid w:val="00686C89"/>
    <w:rsid w:val="006E30E9"/>
    <w:rsid w:val="006F30AF"/>
    <w:rsid w:val="007655CA"/>
    <w:rsid w:val="00774EDC"/>
    <w:rsid w:val="007B74BF"/>
    <w:rsid w:val="007D7362"/>
    <w:rsid w:val="00846656"/>
    <w:rsid w:val="00917FBB"/>
    <w:rsid w:val="00935FF0"/>
    <w:rsid w:val="00945E4B"/>
    <w:rsid w:val="00A8494F"/>
    <w:rsid w:val="00A931AC"/>
    <w:rsid w:val="00AE20F9"/>
    <w:rsid w:val="00B019DD"/>
    <w:rsid w:val="00B45F96"/>
    <w:rsid w:val="00B65FFB"/>
    <w:rsid w:val="00B93194"/>
    <w:rsid w:val="00B9414B"/>
    <w:rsid w:val="00BA512D"/>
    <w:rsid w:val="00BF3BB8"/>
    <w:rsid w:val="00C131EA"/>
    <w:rsid w:val="00C15FB9"/>
    <w:rsid w:val="00C34D8D"/>
    <w:rsid w:val="00C42104"/>
    <w:rsid w:val="00CF1CE2"/>
    <w:rsid w:val="00D13C10"/>
    <w:rsid w:val="00D560EC"/>
    <w:rsid w:val="00D83A5B"/>
    <w:rsid w:val="00DB7D75"/>
    <w:rsid w:val="00DF0BCF"/>
    <w:rsid w:val="00E06EEB"/>
    <w:rsid w:val="00E611B9"/>
    <w:rsid w:val="00E822D2"/>
    <w:rsid w:val="00EC4984"/>
    <w:rsid w:val="00F12B59"/>
    <w:rsid w:val="00F7112B"/>
    <w:rsid w:val="00FB1C0A"/>
    <w:rsid w:val="00FF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9F70"/>
  <w15:chartTrackingRefBased/>
  <w15:docId w15:val="{F4511BED-FC73-43BC-A984-5EBBF45A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8"/>
    <w:rPr>
      <w:rFonts w:eastAsiaTheme="majorEastAsia" w:cstheme="majorBidi"/>
      <w:color w:val="272727" w:themeColor="text1" w:themeTint="D8"/>
    </w:rPr>
  </w:style>
  <w:style w:type="paragraph" w:styleId="Title">
    <w:name w:val="Title"/>
    <w:basedOn w:val="Normal"/>
    <w:next w:val="Normal"/>
    <w:link w:val="TitleChar"/>
    <w:uiPriority w:val="10"/>
    <w:qFormat/>
    <w:rsid w:val="001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8"/>
    <w:rPr>
      <w:i/>
      <w:iCs/>
      <w:color w:val="404040" w:themeColor="text1" w:themeTint="BF"/>
    </w:rPr>
  </w:style>
  <w:style w:type="paragraph" w:styleId="ListParagraph">
    <w:name w:val="List Paragraph"/>
    <w:basedOn w:val="Normal"/>
    <w:uiPriority w:val="34"/>
    <w:qFormat/>
    <w:rsid w:val="00122548"/>
    <w:pPr>
      <w:ind w:left="720"/>
      <w:contextualSpacing/>
    </w:pPr>
  </w:style>
  <w:style w:type="character" w:styleId="IntenseEmphasis">
    <w:name w:val="Intense Emphasis"/>
    <w:basedOn w:val="DefaultParagraphFont"/>
    <w:uiPriority w:val="21"/>
    <w:qFormat/>
    <w:rsid w:val="00122548"/>
    <w:rPr>
      <w:i/>
      <w:iCs/>
      <w:color w:val="0F4761" w:themeColor="accent1" w:themeShade="BF"/>
    </w:rPr>
  </w:style>
  <w:style w:type="paragraph" w:styleId="IntenseQuote">
    <w:name w:val="Intense Quote"/>
    <w:basedOn w:val="Normal"/>
    <w:next w:val="Normal"/>
    <w:link w:val="IntenseQuoteChar"/>
    <w:uiPriority w:val="30"/>
    <w:qFormat/>
    <w:rsid w:val="001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48"/>
    <w:rPr>
      <w:i/>
      <w:iCs/>
      <w:color w:val="0F4761" w:themeColor="accent1" w:themeShade="BF"/>
    </w:rPr>
  </w:style>
  <w:style w:type="character" w:styleId="IntenseReference">
    <w:name w:val="Intense Reference"/>
    <w:basedOn w:val="DefaultParagraphFont"/>
    <w:uiPriority w:val="32"/>
    <w:qFormat/>
    <w:rsid w:val="00122548"/>
    <w:rPr>
      <w:b/>
      <w:bCs/>
      <w:smallCaps/>
      <w:color w:val="0F4761" w:themeColor="accent1" w:themeShade="BF"/>
      <w:spacing w:val="5"/>
    </w:rPr>
  </w:style>
  <w:style w:type="paragraph" w:styleId="NormalWeb">
    <w:name w:val="Normal (Web)"/>
    <w:basedOn w:val="Normal"/>
    <w:uiPriority w:val="99"/>
    <w:semiHidden/>
    <w:unhideWhenUsed/>
    <w:rsid w:val="00AE20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9401FCA20B48BC2D5BC3B4486ECB" ma:contentTypeVersion="10" ma:contentTypeDescription="Create a new document." ma:contentTypeScope="" ma:versionID="70af42405b8a534e5b54171e7be91a3d">
  <xsd:schema xmlns:xsd="http://www.w3.org/2001/XMLSchema" xmlns:xs="http://www.w3.org/2001/XMLSchema" xmlns:p="http://schemas.microsoft.com/office/2006/metadata/properties" xmlns:ns3="919c896f-2556-40fa-a2e5-a327a5cfdc9b" targetNamespace="http://schemas.microsoft.com/office/2006/metadata/properties" ma:root="true" ma:fieldsID="4271f00df38a4456bc8ee7a19ba00849" ns3:_="">
    <xsd:import namespace="919c896f-2556-40fa-a2e5-a327a5cfdc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c896f-2556-40fa-a2e5-a327a5cfd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392C20-DE12-4B8A-B1B1-BC4E0A96A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c896f-2556-40fa-a2e5-a327a5cfd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67BEA-8480-46C5-AE16-7FDBEAF6475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1A9490-CDDD-44CC-B042-3560735403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Emmanuel Paddy</dc:creator>
  <cp:keywords/>
  <dc:description/>
  <cp:lastModifiedBy>Adams Emmanuel Paddy</cp:lastModifiedBy>
  <cp:revision>33</cp:revision>
  <dcterms:created xsi:type="dcterms:W3CDTF">2026-06-21T11:45:00Z</dcterms:created>
  <dcterms:modified xsi:type="dcterms:W3CDTF">2026-06-25T17:50:00Z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db45a2f2-db53-498b-bc8a-1a363da63c00</vt:lpwstr>
  </property>
  <property fmtid="{D5CDD505-2E9C-101B-9397-08002B2CF9AE}" pid="3" name="ContentTypeId">
    <vt:lpwstr>0x01010069A79401FCA20B48BC2D5BC3B4486ECB</vt:lpwstr>
  </property>
</Properties>
</file>