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FB2A2" w14:textId="3856347E" w:rsidR="00846656" w:rsidRPr="00913F2D" w:rsidRDefault="000C21A2" w:rsidP="00913F2D">
      <w:pPr>
        <w:spacing w:after="0"/>
        <w:rPr>
          <w:rFonts w:ascii="Times New Roman" w:hAnsi="Times New Roman" w:cs="Times New Roman"/>
          <w:b/>
          <w:bCs/>
          <w:sz w:val="74"/>
          <w:szCs w:val="74"/>
          <w:u w:val="single"/>
        </w:rPr>
      </w:pPr>
      <w:r w:rsidRPr="00913F2D">
        <w:rPr>
          <w:rFonts w:ascii="Times New Roman" w:hAnsi="Times New Roman" w:cs="Times New Roman"/>
          <w:b/>
          <w:bCs/>
          <w:sz w:val="74"/>
          <w:szCs w:val="74"/>
          <w:u w:val="single"/>
        </w:rPr>
        <w:t xml:space="preserve">UNIVERSITY OF GHANA </w:t>
      </w:r>
    </w:p>
    <w:p w14:paraId="6BA507D0" w14:textId="2D69F7C6" w:rsidR="00846656" w:rsidRPr="00913F2D" w:rsidRDefault="00B65FFB" w:rsidP="00913F2D">
      <w:pPr>
        <w:spacing w:after="0"/>
        <w:rPr>
          <w:rFonts w:ascii="Times New Roman" w:hAnsi="Times New Roman" w:cs="Times New Roman"/>
          <w:sz w:val="48"/>
          <w:szCs w:val="48"/>
        </w:rPr>
      </w:pPr>
      <w:r w:rsidRPr="00913F2D">
        <w:rPr>
          <w:rFonts w:ascii="Times New Roman" w:hAnsi="Times New Roman" w:cs="Times New Roman"/>
        </w:rPr>
        <w:tab/>
      </w:r>
      <w:r w:rsidR="00F92172" w:rsidRPr="00913F2D">
        <w:rPr>
          <w:rFonts w:ascii="Times New Roman" w:hAnsi="Times New Roman" w:cs="Times New Roman"/>
          <w:noProof/>
          <w:sz w:val="48"/>
          <w:szCs w:val="48"/>
        </w:rPr>
        <w:drawing>
          <wp:inline distT="0" distB="0" distL="0" distR="0" wp14:anchorId="555333E1" wp14:editId="16872AF7">
            <wp:extent cx="4671060" cy="3398520"/>
            <wp:effectExtent l="0" t="0" r="0" b="0"/>
            <wp:docPr id="33448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80299" name="Picture 334480299"/>
                    <pic:cNvPicPr/>
                  </pic:nvPicPr>
                  <pic:blipFill>
                    <a:blip r:embed="rId11">
                      <a:extLst>
                        <a:ext uri="{28A0092B-C50C-407E-A947-70E740481C1C}">
                          <a14:useLocalDpi xmlns:a14="http://schemas.microsoft.com/office/drawing/2010/main" val="0"/>
                        </a:ext>
                      </a:extLst>
                    </a:blip>
                    <a:stretch>
                      <a:fillRect/>
                    </a:stretch>
                  </pic:blipFill>
                  <pic:spPr>
                    <a:xfrm>
                      <a:off x="0" y="0"/>
                      <a:ext cx="4671060" cy="3398520"/>
                    </a:xfrm>
                    <a:prstGeom prst="rect">
                      <a:avLst/>
                    </a:prstGeom>
                  </pic:spPr>
                </pic:pic>
              </a:graphicData>
            </a:graphic>
          </wp:inline>
        </w:drawing>
      </w:r>
    </w:p>
    <w:p w14:paraId="1BEAF3D0" w14:textId="218B5BDA" w:rsidR="00846656" w:rsidRPr="00913F2D" w:rsidRDefault="000C4E72" w:rsidP="00913F2D">
      <w:pPr>
        <w:spacing w:after="0"/>
        <w:rPr>
          <w:rFonts w:ascii="Times New Roman" w:hAnsi="Times New Roman" w:cs="Times New Roman"/>
          <w:b/>
          <w:bCs/>
          <w:sz w:val="48"/>
          <w:szCs w:val="48"/>
        </w:rPr>
      </w:pPr>
      <w:r w:rsidRPr="00913F2D">
        <w:rPr>
          <w:rFonts w:ascii="Times New Roman" w:hAnsi="Times New Roman" w:cs="Times New Roman"/>
          <w:b/>
          <w:bCs/>
          <w:sz w:val="48"/>
          <w:szCs w:val="48"/>
        </w:rPr>
        <w:t xml:space="preserve">      </w:t>
      </w:r>
      <w:r w:rsidR="00B65FFB" w:rsidRPr="00913F2D">
        <w:rPr>
          <w:rFonts w:ascii="Times New Roman" w:hAnsi="Times New Roman" w:cs="Times New Roman"/>
          <w:b/>
          <w:bCs/>
          <w:sz w:val="48"/>
          <w:szCs w:val="48"/>
        </w:rPr>
        <w:t>DEPARTMENT OF STA</w:t>
      </w:r>
      <w:r w:rsidR="00525242" w:rsidRPr="00913F2D">
        <w:rPr>
          <w:rFonts w:ascii="Times New Roman" w:hAnsi="Times New Roman" w:cs="Times New Roman"/>
          <w:b/>
          <w:bCs/>
          <w:sz w:val="48"/>
          <w:szCs w:val="48"/>
        </w:rPr>
        <w:t xml:space="preserve">TISTICS </w:t>
      </w:r>
    </w:p>
    <w:p w14:paraId="2999298D" w14:textId="63AF15A9" w:rsidR="006174C4" w:rsidRPr="00913F2D" w:rsidRDefault="00E06EEB" w:rsidP="00913F2D">
      <w:pPr>
        <w:spacing w:after="0"/>
        <w:rPr>
          <w:rFonts w:ascii="Times New Roman" w:hAnsi="Times New Roman" w:cs="Times New Roman"/>
          <w:b/>
          <w:bCs/>
          <w:sz w:val="48"/>
          <w:szCs w:val="48"/>
        </w:rPr>
      </w:pPr>
      <w:r w:rsidRPr="00913F2D">
        <w:rPr>
          <w:rFonts w:ascii="Times New Roman" w:hAnsi="Times New Roman" w:cs="Times New Roman"/>
          <w:b/>
          <w:bCs/>
          <w:sz w:val="48"/>
          <w:szCs w:val="48"/>
        </w:rPr>
        <w:t xml:space="preserve">                 STAT</w:t>
      </w:r>
      <w:r w:rsidR="006E30E9" w:rsidRPr="00913F2D">
        <w:rPr>
          <w:rFonts w:ascii="Times New Roman" w:hAnsi="Times New Roman" w:cs="Times New Roman"/>
          <w:b/>
          <w:bCs/>
          <w:sz w:val="48"/>
          <w:szCs w:val="48"/>
        </w:rPr>
        <w:t xml:space="preserve"> 450(PROJECT)</w:t>
      </w:r>
    </w:p>
    <w:p w14:paraId="47011CAA" w14:textId="77777777" w:rsidR="00076B85" w:rsidRPr="00913F2D" w:rsidRDefault="00076B85" w:rsidP="00913F2D">
      <w:pPr>
        <w:spacing w:after="0"/>
        <w:rPr>
          <w:rFonts w:ascii="Times New Roman" w:hAnsi="Times New Roman" w:cs="Times New Roman"/>
          <w:b/>
          <w:bCs/>
          <w:sz w:val="40"/>
          <w:szCs w:val="40"/>
        </w:rPr>
      </w:pPr>
      <w:r w:rsidRPr="00913F2D">
        <w:rPr>
          <w:rFonts w:ascii="Times New Roman" w:hAnsi="Times New Roman" w:cs="Times New Roman"/>
          <w:b/>
          <w:bCs/>
          <w:sz w:val="40"/>
          <w:szCs w:val="40"/>
        </w:rPr>
        <w:t>TIME SERIES ANALYSIS OF FUEL PRICEING IN GHANA</w:t>
      </w:r>
    </w:p>
    <w:p w14:paraId="4AE41BA8" w14:textId="77777777" w:rsidR="00846656" w:rsidRPr="00913F2D" w:rsidRDefault="00846656" w:rsidP="00913F2D">
      <w:pPr>
        <w:spacing w:after="0"/>
        <w:rPr>
          <w:rFonts w:ascii="Times New Roman" w:hAnsi="Times New Roman" w:cs="Times New Roman"/>
        </w:rPr>
      </w:pPr>
    </w:p>
    <w:p w14:paraId="15F343FE" w14:textId="412F3BED" w:rsidR="006E30E9" w:rsidRPr="00913F2D" w:rsidRDefault="004A5F81" w:rsidP="00913F2D">
      <w:pPr>
        <w:spacing w:after="0"/>
        <w:ind w:left="720" w:hanging="720"/>
        <w:rPr>
          <w:rFonts w:ascii="Times New Roman" w:hAnsi="Times New Roman" w:cs="Times New Roman"/>
          <w:b/>
          <w:bCs/>
        </w:rPr>
      </w:pPr>
      <w:r w:rsidRPr="00913F2D">
        <w:rPr>
          <w:rFonts w:ascii="Times New Roman" w:hAnsi="Times New Roman" w:cs="Times New Roman"/>
          <w:b/>
          <w:bCs/>
        </w:rPr>
        <w:t xml:space="preserve">NAME </w:t>
      </w:r>
      <w:r w:rsidRPr="00913F2D">
        <w:rPr>
          <w:rFonts w:ascii="Times New Roman" w:hAnsi="Times New Roman" w:cs="Times New Roman"/>
          <w:b/>
          <w:bCs/>
        </w:rPr>
        <w:tab/>
      </w:r>
      <w:r w:rsidRPr="00913F2D">
        <w:rPr>
          <w:rFonts w:ascii="Times New Roman" w:hAnsi="Times New Roman" w:cs="Times New Roman"/>
          <w:b/>
          <w:bCs/>
        </w:rPr>
        <w:tab/>
      </w:r>
      <w:r w:rsidRPr="00913F2D">
        <w:rPr>
          <w:rFonts w:ascii="Times New Roman" w:hAnsi="Times New Roman" w:cs="Times New Roman"/>
          <w:b/>
          <w:bCs/>
        </w:rPr>
        <w:tab/>
      </w:r>
      <w:r w:rsidRPr="00913F2D">
        <w:rPr>
          <w:rFonts w:ascii="Times New Roman" w:hAnsi="Times New Roman" w:cs="Times New Roman"/>
          <w:b/>
          <w:bCs/>
        </w:rPr>
        <w:tab/>
      </w:r>
      <w:r w:rsidRPr="00913F2D">
        <w:rPr>
          <w:rFonts w:ascii="Times New Roman" w:hAnsi="Times New Roman" w:cs="Times New Roman"/>
          <w:b/>
          <w:bCs/>
        </w:rPr>
        <w:tab/>
      </w:r>
      <w:r w:rsidRPr="00913F2D">
        <w:rPr>
          <w:rFonts w:ascii="Times New Roman" w:hAnsi="Times New Roman" w:cs="Times New Roman"/>
          <w:b/>
          <w:bCs/>
        </w:rPr>
        <w:tab/>
      </w:r>
      <w:r w:rsidRPr="00913F2D">
        <w:rPr>
          <w:rFonts w:ascii="Times New Roman" w:hAnsi="Times New Roman" w:cs="Times New Roman"/>
          <w:b/>
          <w:bCs/>
        </w:rPr>
        <w:tab/>
        <w:t xml:space="preserve">ID </w:t>
      </w:r>
    </w:p>
    <w:p w14:paraId="514E6284" w14:textId="40856F0C" w:rsidR="00C131EA" w:rsidRPr="00913F2D" w:rsidRDefault="004A5F81" w:rsidP="00913F2D">
      <w:pPr>
        <w:spacing w:after="0"/>
        <w:ind w:left="720" w:hanging="720"/>
        <w:rPr>
          <w:rFonts w:ascii="Times New Roman" w:hAnsi="Times New Roman" w:cs="Times New Roman"/>
          <w:b/>
          <w:bCs/>
        </w:rPr>
      </w:pPr>
      <w:r w:rsidRPr="00913F2D">
        <w:rPr>
          <w:rFonts w:ascii="Times New Roman" w:hAnsi="Times New Roman" w:cs="Times New Roman"/>
          <w:b/>
          <w:bCs/>
        </w:rPr>
        <w:t xml:space="preserve">THEOPHILUS </w:t>
      </w:r>
      <w:r w:rsidR="00C131EA" w:rsidRPr="00913F2D">
        <w:rPr>
          <w:rFonts w:ascii="Times New Roman" w:hAnsi="Times New Roman" w:cs="Times New Roman"/>
          <w:b/>
          <w:bCs/>
        </w:rPr>
        <w:t xml:space="preserve">GYABAAH </w:t>
      </w:r>
      <w:r w:rsidR="00C131EA" w:rsidRPr="00913F2D">
        <w:rPr>
          <w:rFonts w:ascii="Times New Roman" w:hAnsi="Times New Roman" w:cs="Times New Roman"/>
          <w:b/>
          <w:bCs/>
        </w:rPr>
        <w:tab/>
      </w:r>
      <w:r w:rsidR="00C131EA" w:rsidRPr="00913F2D">
        <w:rPr>
          <w:rFonts w:ascii="Times New Roman" w:hAnsi="Times New Roman" w:cs="Times New Roman"/>
          <w:b/>
          <w:bCs/>
        </w:rPr>
        <w:tab/>
      </w:r>
      <w:r w:rsidR="00076B85" w:rsidRPr="00913F2D">
        <w:rPr>
          <w:rFonts w:ascii="Times New Roman" w:hAnsi="Times New Roman" w:cs="Times New Roman"/>
          <w:b/>
          <w:bCs/>
        </w:rPr>
        <w:t xml:space="preserve">                  </w:t>
      </w:r>
      <w:r w:rsidR="00C131EA" w:rsidRPr="00913F2D">
        <w:rPr>
          <w:rFonts w:ascii="Times New Roman" w:hAnsi="Times New Roman" w:cs="Times New Roman"/>
          <w:b/>
          <w:bCs/>
        </w:rPr>
        <w:t>11038981</w:t>
      </w:r>
    </w:p>
    <w:p w14:paraId="1C246B4B" w14:textId="6B5AB738" w:rsidR="00C131EA" w:rsidRPr="00913F2D" w:rsidRDefault="00C131EA" w:rsidP="00913F2D">
      <w:pPr>
        <w:spacing w:after="0"/>
        <w:ind w:left="720" w:hanging="720"/>
        <w:rPr>
          <w:rFonts w:ascii="Times New Roman" w:hAnsi="Times New Roman" w:cs="Times New Roman"/>
          <w:b/>
          <w:bCs/>
        </w:rPr>
      </w:pPr>
      <w:r w:rsidRPr="00913F2D">
        <w:rPr>
          <w:rFonts w:ascii="Times New Roman" w:hAnsi="Times New Roman" w:cs="Times New Roman"/>
          <w:b/>
          <w:bCs/>
        </w:rPr>
        <w:t xml:space="preserve">ADAMS EMMANUEL PADDY                  </w:t>
      </w:r>
      <w:r w:rsidR="00076B85" w:rsidRPr="00913F2D">
        <w:rPr>
          <w:rFonts w:ascii="Times New Roman" w:hAnsi="Times New Roman" w:cs="Times New Roman"/>
          <w:b/>
          <w:bCs/>
        </w:rPr>
        <w:t xml:space="preserve">                  </w:t>
      </w:r>
      <w:r w:rsidRPr="00913F2D">
        <w:rPr>
          <w:rFonts w:ascii="Times New Roman" w:hAnsi="Times New Roman" w:cs="Times New Roman"/>
          <w:b/>
          <w:bCs/>
        </w:rPr>
        <w:t>11264136</w:t>
      </w:r>
    </w:p>
    <w:p w14:paraId="7B5432DB" w14:textId="369B104B" w:rsidR="00F92172" w:rsidRPr="00913F2D" w:rsidRDefault="00C131EA" w:rsidP="00913F2D">
      <w:pPr>
        <w:spacing w:after="0"/>
        <w:ind w:left="720" w:hanging="720"/>
        <w:rPr>
          <w:rFonts w:ascii="Times New Roman" w:hAnsi="Times New Roman" w:cs="Times New Roman"/>
          <w:b/>
          <w:bCs/>
        </w:rPr>
      </w:pPr>
      <w:r w:rsidRPr="00913F2D">
        <w:rPr>
          <w:rFonts w:ascii="Times New Roman" w:hAnsi="Times New Roman" w:cs="Times New Roman"/>
          <w:b/>
          <w:bCs/>
        </w:rPr>
        <w:t xml:space="preserve">CHRIS OKWANING KORAM                  </w:t>
      </w:r>
      <w:r w:rsidR="00076B85" w:rsidRPr="00913F2D">
        <w:rPr>
          <w:rFonts w:ascii="Times New Roman" w:hAnsi="Times New Roman" w:cs="Times New Roman"/>
          <w:b/>
          <w:bCs/>
        </w:rPr>
        <w:t xml:space="preserve">                   </w:t>
      </w:r>
      <w:r w:rsidRPr="00913F2D">
        <w:rPr>
          <w:rFonts w:ascii="Times New Roman" w:hAnsi="Times New Roman" w:cs="Times New Roman"/>
          <w:b/>
          <w:bCs/>
        </w:rPr>
        <w:t>11345562</w:t>
      </w:r>
      <w:r w:rsidR="004A5F81" w:rsidRPr="00913F2D">
        <w:rPr>
          <w:rFonts w:ascii="Times New Roman" w:hAnsi="Times New Roman" w:cs="Times New Roman"/>
          <w:b/>
          <w:bCs/>
        </w:rPr>
        <w:tab/>
      </w:r>
    </w:p>
    <w:p w14:paraId="2DDA9324" w14:textId="77777777" w:rsidR="00F92172" w:rsidRPr="00913F2D" w:rsidRDefault="00F92172" w:rsidP="00913F2D">
      <w:pPr>
        <w:spacing w:after="0"/>
        <w:rPr>
          <w:rFonts w:ascii="Times New Roman" w:hAnsi="Times New Roman" w:cs="Times New Roman"/>
          <w:b/>
          <w:bCs/>
        </w:rPr>
      </w:pPr>
    </w:p>
    <w:p w14:paraId="38CDC089" w14:textId="354BA671" w:rsidR="004A5F81" w:rsidRPr="00913F2D" w:rsidRDefault="00F92172" w:rsidP="00913F2D">
      <w:pPr>
        <w:spacing w:after="0"/>
        <w:rPr>
          <w:rFonts w:ascii="Times New Roman" w:hAnsi="Times New Roman" w:cs="Times New Roman"/>
          <w:b/>
          <w:bCs/>
        </w:rPr>
      </w:pPr>
      <w:r w:rsidRPr="00913F2D">
        <w:rPr>
          <w:rFonts w:ascii="Times New Roman" w:hAnsi="Times New Roman" w:cs="Times New Roman"/>
        </w:rPr>
        <w:t>PROJECT SUPERVISOR: DOC. ISSAH SEIDU</w:t>
      </w:r>
      <w:r w:rsidR="004A5F81" w:rsidRPr="00913F2D">
        <w:rPr>
          <w:rFonts w:ascii="Times New Roman" w:hAnsi="Times New Roman" w:cs="Times New Roman"/>
          <w:b/>
          <w:bCs/>
        </w:rPr>
        <w:tab/>
      </w:r>
      <w:r w:rsidR="004A5F81" w:rsidRPr="00913F2D">
        <w:rPr>
          <w:rFonts w:ascii="Times New Roman" w:hAnsi="Times New Roman" w:cs="Times New Roman"/>
          <w:b/>
          <w:bCs/>
        </w:rPr>
        <w:tab/>
      </w:r>
      <w:r w:rsidR="004A5F81" w:rsidRPr="00913F2D">
        <w:rPr>
          <w:rFonts w:ascii="Times New Roman" w:hAnsi="Times New Roman" w:cs="Times New Roman"/>
          <w:b/>
          <w:bCs/>
        </w:rPr>
        <w:tab/>
      </w:r>
    </w:p>
    <w:p w14:paraId="78AB0981" w14:textId="77777777" w:rsidR="00846656" w:rsidRPr="00913F2D" w:rsidRDefault="00846656" w:rsidP="00913F2D">
      <w:pPr>
        <w:spacing w:after="0"/>
        <w:rPr>
          <w:rFonts w:ascii="Times New Roman" w:hAnsi="Times New Roman" w:cs="Times New Roman"/>
        </w:rPr>
      </w:pPr>
    </w:p>
    <w:p w14:paraId="16EBB072" w14:textId="77777777" w:rsidR="00846656" w:rsidRDefault="00846656" w:rsidP="00913F2D">
      <w:pPr>
        <w:spacing w:after="0"/>
        <w:rPr>
          <w:rFonts w:ascii="Times New Roman" w:hAnsi="Times New Roman" w:cs="Times New Roman"/>
        </w:rPr>
      </w:pPr>
    </w:p>
    <w:p w14:paraId="76CD49D9" w14:textId="77777777" w:rsidR="00913F2D" w:rsidRDefault="00913F2D" w:rsidP="00913F2D">
      <w:pPr>
        <w:spacing w:after="0"/>
        <w:rPr>
          <w:rFonts w:ascii="Times New Roman" w:hAnsi="Times New Roman" w:cs="Times New Roman"/>
        </w:rPr>
      </w:pPr>
    </w:p>
    <w:p w14:paraId="05583BD6" w14:textId="77777777" w:rsidR="00913F2D" w:rsidRDefault="00913F2D" w:rsidP="00913F2D">
      <w:pPr>
        <w:spacing w:after="0"/>
        <w:rPr>
          <w:rFonts w:ascii="Times New Roman" w:hAnsi="Times New Roman" w:cs="Times New Roman"/>
        </w:rPr>
      </w:pPr>
    </w:p>
    <w:p w14:paraId="7ABF7643" w14:textId="77777777" w:rsidR="00913F2D" w:rsidRDefault="00913F2D" w:rsidP="00913F2D">
      <w:pPr>
        <w:spacing w:after="0"/>
        <w:rPr>
          <w:rFonts w:ascii="Times New Roman" w:hAnsi="Times New Roman" w:cs="Times New Roman"/>
        </w:rPr>
      </w:pPr>
    </w:p>
    <w:p w14:paraId="21B316BA" w14:textId="77777777" w:rsidR="00913F2D" w:rsidRDefault="00913F2D" w:rsidP="00913F2D">
      <w:pPr>
        <w:spacing w:after="0"/>
        <w:rPr>
          <w:rFonts w:ascii="Times New Roman" w:hAnsi="Times New Roman" w:cs="Times New Roman"/>
        </w:rPr>
      </w:pPr>
    </w:p>
    <w:p w14:paraId="1763D4EB" w14:textId="77777777" w:rsidR="00913F2D" w:rsidRDefault="00913F2D" w:rsidP="00913F2D">
      <w:pPr>
        <w:spacing w:after="0"/>
        <w:rPr>
          <w:rFonts w:ascii="Times New Roman" w:hAnsi="Times New Roman" w:cs="Times New Roman"/>
        </w:rPr>
      </w:pPr>
    </w:p>
    <w:p w14:paraId="58C8E361" w14:textId="77777777" w:rsidR="00913F2D" w:rsidRDefault="00913F2D" w:rsidP="00913F2D">
      <w:pPr>
        <w:spacing w:after="0"/>
        <w:rPr>
          <w:rFonts w:ascii="Times New Roman" w:hAnsi="Times New Roman" w:cs="Times New Roman"/>
        </w:rPr>
      </w:pPr>
    </w:p>
    <w:p w14:paraId="66090E51" w14:textId="77777777" w:rsidR="00913F2D" w:rsidRPr="00913F2D" w:rsidRDefault="00913F2D" w:rsidP="00913F2D">
      <w:pPr>
        <w:spacing w:after="0"/>
        <w:rPr>
          <w:rFonts w:ascii="Times New Roman" w:hAnsi="Times New Roman" w:cs="Times New Roman"/>
        </w:rPr>
      </w:pPr>
    </w:p>
    <w:p w14:paraId="2FE33C98"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lastRenderedPageBreak/>
        <w:t>CHAPTER ONE: INTRODUCTION</w:t>
      </w:r>
    </w:p>
    <w:p w14:paraId="3B9871A1"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1.1 Background of the Study</w:t>
      </w:r>
    </w:p>
    <w:p w14:paraId="18FE7BFC" w14:textId="6EFED82B"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Fuel is a foundational commodity essential for industrial production, transportation networks, and agricultural development, serving as a primary driver of global economic activity (Hamilton, 2009). Whether in the form of gasoline, diesel, or liquid petroleum gas (LPG), fuel acts as a non-negotiable input for generating energy and facilitating the movement of goods and services. Because of this structural reliance, the availability and pricing of petroleum products directly dictate the operational capacity and efficiency of contemporary economies.</w:t>
      </w:r>
    </w:p>
    <w:p w14:paraId="43C3A12A" w14:textId="77777777" w:rsidR="00913F2D" w:rsidRPr="00913F2D" w:rsidRDefault="00913F2D" w:rsidP="00913F2D">
      <w:pPr>
        <w:spacing w:after="0"/>
        <w:rPr>
          <w:rFonts w:ascii="Times New Roman" w:hAnsi="Times New Roman" w:cs="Times New Roman"/>
        </w:rPr>
      </w:pPr>
    </w:p>
    <w:p w14:paraId="75E73142" w14:textId="04772434"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Consequently, changes in fuel prices spread through the entire economy very quickly. Fluctuations impact the cost of living, drive inflation rates, alter business operating expenses, and ultimately shape the financial well-being of citizens (Hamilton, 2009). Given these cascading economic effects, the ability to accurately forecast price change is highly valuable for both macroeconomic planning and individual consumer behavior.</w:t>
      </w:r>
    </w:p>
    <w:p w14:paraId="4159B274" w14:textId="77777777" w:rsidR="004E1758" w:rsidRPr="00913F2D" w:rsidRDefault="004E1758" w:rsidP="00913F2D">
      <w:pPr>
        <w:spacing w:after="0"/>
        <w:rPr>
          <w:rFonts w:ascii="Times New Roman" w:hAnsi="Times New Roman" w:cs="Times New Roman"/>
        </w:rPr>
      </w:pPr>
    </w:p>
    <w:p w14:paraId="291FE130"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 xml:space="preserve">Globally, the price formation of fuel depends largely on crude oil markets. International crude oil prices, particularly the world benchmark price of Brent crude, historically exhibit high volatility due to geopolitical risks, OPEC supply decisions, global demand shifts, and macroeconomic factors (Kilian, 2009). This volatility has prompted an extensive amount of research into energy price prediction. Previous empirical studies have explored various time-series and econometric approaches to model these dynamics; for instance, </w:t>
      </w:r>
      <w:proofErr w:type="spellStart"/>
      <w:r w:rsidRPr="00913F2D">
        <w:rPr>
          <w:rFonts w:ascii="Times New Roman" w:hAnsi="Times New Roman" w:cs="Times New Roman"/>
        </w:rPr>
        <w:t>Jammazi</w:t>
      </w:r>
      <w:proofErr w:type="spellEnd"/>
      <w:r w:rsidRPr="00913F2D">
        <w:rPr>
          <w:rFonts w:ascii="Times New Roman" w:hAnsi="Times New Roman" w:cs="Times New Roman"/>
        </w:rPr>
        <w:t xml:space="preserve"> and Aloui (2012) utilized wavelet decomposition and neural networks for crude oil forecasting, while Baumeister and Kilian (2014) evaluated the macroeconomic impacts of oil price predictions.</w:t>
      </w:r>
    </w:p>
    <w:p w14:paraId="470EA822" w14:textId="77777777" w:rsidR="004E1758" w:rsidRPr="00913F2D" w:rsidRDefault="004E1758" w:rsidP="00913F2D">
      <w:pPr>
        <w:spacing w:after="0"/>
        <w:rPr>
          <w:rFonts w:ascii="Times New Roman" w:hAnsi="Times New Roman" w:cs="Times New Roman"/>
        </w:rPr>
      </w:pPr>
    </w:p>
    <w:p w14:paraId="1854F4F3" w14:textId="00D37BF9"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 xml:space="preserve">The effects of this global fuel price volatility have been especially pronounced in Sub-Saharan Africa. Unlike developed nations with diverse energy portfolios and well-established price stabilization techniques, numerous African nations rely entirely on imported refined petroleum products. In these countries, international price shocks to crude oil transmit directly into domestic fuel prices (Alom et al., 2013). Furthermore, fluctuations in the exchange rate between their local currencies and the US </w:t>
      </w:r>
      <w:proofErr w:type="gramStart"/>
      <w:r w:rsidRPr="00913F2D">
        <w:rPr>
          <w:rFonts w:ascii="Times New Roman" w:hAnsi="Times New Roman" w:cs="Times New Roman"/>
        </w:rPr>
        <w:t>dollar</w:t>
      </w:r>
      <w:proofErr w:type="gramEnd"/>
      <w:r w:rsidR="00076B85" w:rsidRPr="00913F2D">
        <w:rPr>
          <w:rFonts w:ascii="Times New Roman" w:hAnsi="Times New Roman" w:cs="Times New Roman"/>
        </w:rPr>
        <w:t xml:space="preserve"> </w:t>
      </w:r>
      <w:r w:rsidRPr="00913F2D">
        <w:rPr>
          <w:rFonts w:ascii="Times New Roman" w:hAnsi="Times New Roman" w:cs="Times New Roman"/>
        </w:rPr>
        <w:t xml:space="preserve">the international currency for the crude oil </w:t>
      </w:r>
      <w:proofErr w:type="gramStart"/>
      <w:r w:rsidRPr="00913F2D">
        <w:rPr>
          <w:rFonts w:ascii="Times New Roman" w:hAnsi="Times New Roman" w:cs="Times New Roman"/>
        </w:rPr>
        <w:t>trade</w:t>
      </w:r>
      <w:proofErr w:type="gramEnd"/>
      <w:r w:rsidR="00076B85" w:rsidRPr="00913F2D">
        <w:rPr>
          <w:rFonts w:ascii="Times New Roman" w:hAnsi="Times New Roman" w:cs="Times New Roman"/>
        </w:rPr>
        <w:t xml:space="preserve"> </w:t>
      </w:r>
      <w:r w:rsidRPr="00913F2D">
        <w:rPr>
          <w:rFonts w:ascii="Times New Roman" w:hAnsi="Times New Roman" w:cs="Times New Roman"/>
        </w:rPr>
        <w:t>intensify the impact of foreign price shocks. Studies by Alom et al. (2013) using SVAR models have demonstrated that these price shocks lead not only to direct economic volatility in developing countries but also to broader macroeconomic instability through imported inflation, which reduces consumer purchasing power.</w:t>
      </w:r>
    </w:p>
    <w:p w14:paraId="0E45C487" w14:textId="77777777" w:rsidR="004E1758" w:rsidRPr="00913F2D" w:rsidRDefault="004E1758" w:rsidP="00913F2D">
      <w:pPr>
        <w:spacing w:after="0"/>
        <w:rPr>
          <w:rFonts w:ascii="Times New Roman" w:hAnsi="Times New Roman" w:cs="Times New Roman"/>
        </w:rPr>
      </w:pPr>
    </w:p>
    <w:p w14:paraId="25913601" w14:textId="1C1184DA"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Ghana serves as a prime example of this vulnerability. As an importer of refined petroleum products, Ghana's domestic fuel prices depend heavily on movements in international crude oil prices and the exchange rate between the Ghana cedi and the US dollar. The National Petroleum Authority (NPA), which oversees the downstream petroleum sector, fixes bi-weekly petrol, diesel, and LPG prices based on a price build-up formula considering international benchmark prices and exchange rates (National Petroleum Authority [NPA], 2023). A depreciation of the cedi</w:t>
      </w:r>
      <w:r w:rsidR="00076B85" w:rsidRPr="00913F2D">
        <w:rPr>
          <w:rFonts w:ascii="Times New Roman" w:hAnsi="Times New Roman" w:cs="Times New Roman"/>
        </w:rPr>
        <w:t xml:space="preserve"> </w:t>
      </w:r>
      <w:r w:rsidRPr="00913F2D">
        <w:rPr>
          <w:rFonts w:ascii="Times New Roman" w:hAnsi="Times New Roman" w:cs="Times New Roman"/>
        </w:rPr>
        <w:t xml:space="preserve">which declined by 29.9% against the US dollar in 2022 </w:t>
      </w:r>
      <w:r w:rsidRPr="00913F2D">
        <w:rPr>
          <w:rFonts w:ascii="Times New Roman" w:hAnsi="Times New Roman" w:cs="Times New Roman"/>
        </w:rPr>
        <w:lastRenderedPageBreak/>
        <w:t>alone</w:t>
      </w:r>
      <w:r w:rsidR="00076B85" w:rsidRPr="00913F2D">
        <w:rPr>
          <w:rFonts w:ascii="Times New Roman" w:hAnsi="Times New Roman" w:cs="Times New Roman"/>
        </w:rPr>
        <w:t xml:space="preserve"> </w:t>
      </w:r>
      <w:r w:rsidRPr="00913F2D">
        <w:rPr>
          <w:rFonts w:ascii="Times New Roman" w:hAnsi="Times New Roman" w:cs="Times New Roman"/>
        </w:rPr>
        <w:t>combined with increased crude oil prices due to global conflicts, creates severe domestic price shocks. This sharp increase in global fuel prices caused domestic fuel prices to reach unprecedented levels, creating immense pressure on individuals and companies in Ghana (Bank of Ghana, 2023).</w:t>
      </w:r>
    </w:p>
    <w:p w14:paraId="4ED1785D" w14:textId="77777777" w:rsidR="004E1758" w:rsidRPr="00913F2D" w:rsidRDefault="004E1758" w:rsidP="00913F2D">
      <w:pPr>
        <w:spacing w:after="0"/>
        <w:rPr>
          <w:rFonts w:ascii="Times New Roman" w:hAnsi="Times New Roman" w:cs="Times New Roman"/>
        </w:rPr>
      </w:pPr>
    </w:p>
    <w:p w14:paraId="550363DF"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The interaction between fuel prices and inflation in Ghana introduces another layer of complexity. Higher fuel prices elevate production and distribution costs across virtually all industries, creating cost-push inflation. Because Ghana depends heavily on imported petroleum products, exchange rate depreciation creates additional amplification, driving up the domestic cost of fuel (Bawa et al., 2016). Inflationary pressures, in turn, affect consumer behavior and prompt monetary policy shifts, forming feedback loops. As a result, the effect of inflation on fuel prices is bidirectional; fuel prices, inflation, exchange rates, and crude oil prices must be considered together in a simultaneous multivariate time series (Hamilton, 2009).</w:t>
      </w:r>
    </w:p>
    <w:p w14:paraId="7E1B44EA" w14:textId="77777777" w:rsidR="004E1758" w:rsidRPr="00913F2D" w:rsidRDefault="004E1758" w:rsidP="00913F2D">
      <w:pPr>
        <w:spacing w:after="0"/>
        <w:rPr>
          <w:rFonts w:ascii="Times New Roman" w:hAnsi="Times New Roman" w:cs="Times New Roman"/>
        </w:rPr>
      </w:pPr>
    </w:p>
    <w:p w14:paraId="772FBC37" w14:textId="6AE414A4"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Despite the economic importance of fuel price dynamics in Ghana, empirical literature on fuel price forecasting in the country remains underdeveloped. Most time series forecasting research in the sub-region focuses on broad commodity prices or general inflation indices rather than specific petroleum products (Addae &amp; Ackah, 2017; Bawa et al., 2016). Crucially, very few studies consider how external factors</w:t>
      </w:r>
      <w:r w:rsidR="00076B85" w:rsidRPr="00913F2D">
        <w:rPr>
          <w:rFonts w:ascii="Times New Roman" w:hAnsi="Times New Roman" w:cs="Times New Roman"/>
        </w:rPr>
        <w:t xml:space="preserve"> </w:t>
      </w:r>
      <w:r w:rsidRPr="00913F2D">
        <w:rPr>
          <w:rFonts w:ascii="Times New Roman" w:hAnsi="Times New Roman" w:cs="Times New Roman"/>
        </w:rPr>
        <w:t>specifically exchange rate shocks, international crude oil price movements, and inflationary dynamics</w:t>
      </w:r>
      <w:r w:rsidR="00076B85" w:rsidRPr="00913F2D">
        <w:rPr>
          <w:rFonts w:ascii="Times New Roman" w:hAnsi="Times New Roman" w:cs="Times New Roman"/>
        </w:rPr>
        <w:t xml:space="preserve"> </w:t>
      </w:r>
      <w:r w:rsidRPr="00913F2D">
        <w:rPr>
          <w:rFonts w:ascii="Times New Roman" w:hAnsi="Times New Roman" w:cs="Times New Roman"/>
        </w:rPr>
        <w:t>affect the accuracy of fuel price forecasts. Time series models that ignore these external shocks may perform adequately under calm economic conditions but rapidly lose their predictive power during periods of economic crisis, which is precisely when accurate forecasting is most vital (Kilian, 2009).</w:t>
      </w:r>
    </w:p>
    <w:p w14:paraId="7D5489E1" w14:textId="77777777" w:rsidR="004E1758" w:rsidRPr="00913F2D" w:rsidRDefault="004E1758" w:rsidP="00913F2D">
      <w:pPr>
        <w:spacing w:after="0"/>
        <w:rPr>
          <w:rFonts w:ascii="Times New Roman" w:hAnsi="Times New Roman" w:cs="Times New Roman"/>
        </w:rPr>
      </w:pPr>
    </w:p>
    <w:p w14:paraId="2F3A7F57"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This study aims to address this gap by developing and testing time series models for forecasting petrol, diesel, and LPG prices in Ghana, specifically evaluating exchange rate shocks, crude oil price movements, and inflationary dynamics as critical predictors of forecast performance.</w:t>
      </w:r>
    </w:p>
    <w:p w14:paraId="7233F728" w14:textId="77777777" w:rsidR="004E1758" w:rsidRPr="00913F2D" w:rsidRDefault="004E1758" w:rsidP="00913F2D">
      <w:pPr>
        <w:spacing w:after="0"/>
        <w:rPr>
          <w:rFonts w:ascii="Times New Roman" w:hAnsi="Times New Roman" w:cs="Times New Roman"/>
        </w:rPr>
      </w:pPr>
    </w:p>
    <w:p w14:paraId="4E9DAF78"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1.2 Problem Statement</w:t>
      </w:r>
    </w:p>
    <w:p w14:paraId="126164D7"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 xml:space="preserve">The prices of fuels in Ghana have remained highly volatile throughout the last ten years due to a combination of external and internal factors, namely fluctuating international crude oil prices, progressive depreciation of the Ghana cedi against the US dollar, and rising domestic inflation. This volatility has been exceptionally severe in recent years. Between the end of 2021 and the end of 2022, the price of petrol increased from ¢6.66 to ¢16.58 per liter (an increase of approximately 149%), while the diesel price increased from ¢6.67 to ¢19.61 per liter (an increase of about 194%) (Bank of Ghana, 2023). This rapid price escalation occurred concurrently with a 29.9% depreciation of the Ghana cedi against the US dollar and a surge in headline inflation to 54.1% by December 2022 (Ghana Statistical Service, 2023). Because fuel prices heavily influence the cost of transport services, food prices, industrial production, and public expenditure, this volatility imposes considerable financial pressure on Ghanaian households, businesses, and public institutions. Forecasting fuel price movements with </w:t>
      </w:r>
      <w:r w:rsidRPr="00913F2D">
        <w:rPr>
          <w:rFonts w:ascii="Times New Roman" w:hAnsi="Times New Roman" w:cs="Times New Roman"/>
        </w:rPr>
        <w:lastRenderedPageBreak/>
        <w:t>reasonable precision over a six-month horizon would provide a highly valuable early warning system for consumers and policymakers.</w:t>
      </w:r>
    </w:p>
    <w:p w14:paraId="3D664234" w14:textId="77777777" w:rsidR="004E1758" w:rsidRPr="00913F2D" w:rsidRDefault="004E1758" w:rsidP="00913F2D">
      <w:pPr>
        <w:spacing w:after="0"/>
        <w:rPr>
          <w:rFonts w:ascii="Times New Roman" w:hAnsi="Times New Roman" w:cs="Times New Roman"/>
        </w:rPr>
      </w:pPr>
    </w:p>
    <w:p w14:paraId="1706A447"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A distinct characteristic of fuel pricing in Ghana is the Unified Pricing Formula (UPF) implemented by the National Petroleum Authority. The UPF calculates ex-pump fuel prices by aggregating international costs, exchange rate fluctuations, taxes, levies, and margins payable to Bulk Distribution Companies (BDCs) and Oil Marketing Companies (OMCs) (National Petroleum Authority [NPA], 2023). Because Ghanaian fuel prices are administratively determined based on international benchmarks rather than pure domestic supply and demand, they cannot be modeled using the exact same frameworks applied to fully deregulated energy markets.</w:t>
      </w:r>
    </w:p>
    <w:p w14:paraId="74D8F408" w14:textId="77777777" w:rsidR="004E1758" w:rsidRPr="00913F2D" w:rsidRDefault="004E1758" w:rsidP="00913F2D">
      <w:pPr>
        <w:spacing w:after="0"/>
        <w:rPr>
          <w:rFonts w:ascii="Times New Roman" w:hAnsi="Times New Roman" w:cs="Times New Roman"/>
        </w:rPr>
      </w:pPr>
    </w:p>
    <w:p w14:paraId="4216D89B"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Despite the critical need for fuel price stability in Ghana's economy, empirical studies focused specifically on forecasting domestic ex-pump petroleum prices are scarce. Existing research on African fuel price dynamics predominantly concentrates on international crude oil prices (Alom et al., 2013; Baumeister &amp; Kilian, 2014), while studies focused on Ghana tend to analyze either inflation dynamics or general commodity prices (Addae &amp; Ackah, 2017; Bawa et al., 2016). Accurately predicting domestic petroleum prices in Ghana requires a targeted approach, as international crude oil prices alone cannot account for the added volatility introduced by exchange rate movements, import costs, and local taxation.</w:t>
      </w:r>
    </w:p>
    <w:p w14:paraId="01809C56" w14:textId="77777777" w:rsidR="004E1758" w:rsidRPr="00913F2D" w:rsidRDefault="004E1758" w:rsidP="00913F2D">
      <w:pPr>
        <w:spacing w:after="0"/>
        <w:rPr>
          <w:rFonts w:ascii="Times New Roman" w:hAnsi="Times New Roman" w:cs="Times New Roman"/>
        </w:rPr>
      </w:pPr>
    </w:p>
    <w:p w14:paraId="3DFA438B" w14:textId="60796F8A"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 xml:space="preserve">Furthermore, while the Ghanaian market's reliance on exchange rates necessitates multivariate modeling, </w:t>
      </w:r>
      <w:r w:rsidR="007C19DE" w:rsidRPr="00913F2D">
        <w:rPr>
          <w:rFonts w:ascii="Times New Roman" w:hAnsi="Times New Roman" w:cs="Times New Roman"/>
        </w:rPr>
        <w:t>most of the</w:t>
      </w:r>
      <w:r w:rsidRPr="00913F2D">
        <w:rPr>
          <w:rFonts w:ascii="Times New Roman" w:hAnsi="Times New Roman" w:cs="Times New Roman"/>
        </w:rPr>
        <w:t xml:space="preserve"> existing research on energy price forecasting in Sub-Saharan Africa relies on univariate time series models, such as standard ARIMA (</w:t>
      </w:r>
      <w:proofErr w:type="spellStart"/>
      <w:r w:rsidRPr="00913F2D">
        <w:rPr>
          <w:rFonts w:ascii="Times New Roman" w:hAnsi="Times New Roman" w:cs="Times New Roman"/>
        </w:rPr>
        <w:t>Jammazi</w:t>
      </w:r>
      <w:proofErr w:type="spellEnd"/>
      <w:r w:rsidRPr="00913F2D">
        <w:rPr>
          <w:rFonts w:ascii="Times New Roman" w:hAnsi="Times New Roman" w:cs="Times New Roman"/>
        </w:rPr>
        <w:t xml:space="preserve"> &amp; Aloui, 2012). Univariate models, which account only for internal price history, are highly susceptible to forecast bias during periods of external macroeconomic turbulence. There is a clear methodological gap regarding the comparison of univariate and multivariate models for fuel price series in Ghana, particularly concerning the explicit testing of external shocks on forecast accuracy.</w:t>
      </w:r>
    </w:p>
    <w:p w14:paraId="44FDFD18" w14:textId="77777777" w:rsidR="004E1758" w:rsidRPr="00913F2D" w:rsidRDefault="004E1758" w:rsidP="00913F2D">
      <w:pPr>
        <w:spacing w:after="0"/>
        <w:rPr>
          <w:rFonts w:ascii="Times New Roman" w:hAnsi="Times New Roman" w:cs="Times New Roman"/>
        </w:rPr>
      </w:pPr>
    </w:p>
    <w:p w14:paraId="348D87E2" w14:textId="5EE35F9A" w:rsidR="00846656" w:rsidRPr="00913F2D" w:rsidRDefault="004E1758" w:rsidP="00913F2D">
      <w:pPr>
        <w:spacing w:after="0"/>
        <w:rPr>
          <w:rFonts w:ascii="Times New Roman" w:hAnsi="Times New Roman" w:cs="Times New Roman"/>
        </w:rPr>
      </w:pPr>
      <w:r w:rsidRPr="00913F2D">
        <w:rPr>
          <w:rFonts w:ascii="Times New Roman" w:hAnsi="Times New Roman" w:cs="Times New Roman"/>
        </w:rPr>
        <w:t>This study seeks to fill this gap by developing, comparing, and evaluating univariate and multivariate time series models (ARIMA, ARIMAX, and VAR) for forecasting retail prices of petrol, diesel, and LPG in Ghana. Utilizing monthly data obtained from the National Petroleum Authority and the Bank of Ghana, the study will assess the extent to which incorporating exchange rate shocks, crude oil price movements, and inflationary dynamics improves forecast accuracy.</w:t>
      </w:r>
    </w:p>
    <w:p w14:paraId="0E7B5940" w14:textId="77777777" w:rsidR="004E1758" w:rsidRPr="00913F2D" w:rsidRDefault="004E1758" w:rsidP="00913F2D">
      <w:pPr>
        <w:spacing w:after="0"/>
        <w:rPr>
          <w:rFonts w:ascii="Times New Roman" w:hAnsi="Times New Roman" w:cs="Times New Roman"/>
        </w:rPr>
      </w:pPr>
    </w:p>
    <w:p w14:paraId="569BA56F"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1.3 Objectives</w:t>
      </w:r>
    </w:p>
    <w:p w14:paraId="2C267A81"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Main Objective</w:t>
      </w:r>
    </w:p>
    <w:p w14:paraId="5B365EE9" w14:textId="25A62D9B"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To evaluate the forecasting accuracy of ARIMA, ARIMAX, and VAR models in predicting fuel prices in Ghana over a 1–</w:t>
      </w:r>
      <w:r w:rsidR="00A24D29" w:rsidRPr="00913F2D">
        <w:rPr>
          <w:rFonts w:ascii="Times New Roman" w:hAnsi="Times New Roman" w:cs="Times New Roman"/>
        </w:rPr>
        <w:t>6-month</w:t>
      </w:r>
      <w:r w:rsidRPr="00913F2D">
        <w:rPr>
          <w:rFonts w:ascii="Times New Roman" w:hAnsi="Times New Roman" w:cs="Times New Roman"/>
        </w:rPr>
        <w:t xml:space="preserve"> horizon, with an emphasis on the role of external shocks in determining model performance.</w:t>
      </w:r>
    </w:p>
    <w:p w14:paraId="4FE3E563" w14:textId="77777777" w:rsidR="004E1758" w:rsidRPr="00913F2D" w:rsidRDefault="004E1758" w:rsidP="00913F2D">
      <w:pPr>
        <w:spacing w:after="0"/>
        <w:rPr>
          <w:rFonts w:ascii="Times New Roman" w:hAnsi="Times New Roman" w:cs="Times New Roman"/>
        </w:rPr>
      </w:pPr>
    </w:p>
    <w:p w14:paraId="74E3F183"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lastRenderedPageBreak/>
        <w:t>Specific Objectives</w:t>
      </w:r>
    </w:p>
    <w:p w14:paraId="67B513AB" w14:textId="77777777" w:rsidR="004E1758" w:rsidRPr="00913F2D" w:rsidRDefault="004E1758" w:rsidP="00913F2D">
      <w:pPr>
        <w:spacing w:after="0"/>
        <w:rPr>
          <w:rFonts w:ascii="Times New Roman" w:hAnsi="Times New Roman" w:cs="Times New Roman"/>
        </w:rPr>
      </w:pPr>
    </w:p>
    <w:p w14:paraId="28C06250" w14:textId="1E94364D" w:rsidR="004E1758" w:rsidRPr="00913F2D" w:rsidRDefault="004E1758" w:rsidP="00913F2D">
      <w:pPr>
        <w:pStyle w:val="ListParagraph"/>
        <w:numPr>
          <w:ilvl w:val="0"/>
          <w:numId w:val="5"/>
        </w:numPr>
        <w:spacing w:after="0"/>
        <w:rPr>
          <w:rFonts w:ascii="Times New Roman" w:hAnsi="Times New Roman" w:cs="Times New Roman"/>
        </w:rPr>
      </w:pPr>
      <w:r w:rsidRPr="00913F2D">
        <w:rPr>
          <w:rFonts w:ascii="Times New Roman" w:hAnsi="Times New Roman" w:cs="Times New Roman"/>
        </w:rPr>
        <w:t xml:space="preserve">To </w:t>
      </w:r>
      <w:r w:rsidR="00A24D29" w:rsidRPr="00913F2D">
        <w:rPr>
          <w:rFonts w:ascii="Times New Roman" w:hAnsi="Times New Roman" w:cs="Times New Roman"/>
        </w:rPr>
        <w:t>analyze</w:t>
      </w:r>
      <w:r w:rsidRPr="00913F2D">
        <w:rPr>
          <w:rFonts w:ascii="Times New Roman" w:hAnsi="Times New Roman" w:cs="Times New Roman"/>
        </w:rPr>
        <w:t xml:space="preserve"> the statistical properties and trends of petrol, diesel, and LPG prices in Ghana over the period 201</w:t>
      </w:r>
      <w:r w:rsidR="007C19DE">
        <w:rPr>
          <w:rFonts w:ascii="Times New Roman" w:hAnsi="Times New Roman" w:cs="Times New Roman"/>
        </w:rPr>
        <w:t>5</w:t>
      </w:r>
      <w:r w:rsidRPr="00913F2D">
        <w:rPr>
          <w:rFonts w:ascii="Times New Roman" w:hAnsi="Times New Roman" w:cs="Times New Roman"/>
        </w:rPr>
        <w:t>–202</w:t>
      </w:r>
      <w:r w:rsidR="007C19DE">
        <w:rPr>
          <w:rFonts w:ascii="Times New Roman" w:hAnsi="Times New Roman" w:cs="Times New Roman"/>
        </w:rPr>
        <w:t>6</w:t>
      </w:r>
      <w:r w:rsidRPr="00913F2D">
        <w:rPr>
          <w:rFonts w:ascii="Times New Roman" w:hAnsi="Times New Roman" w:cs="Times New Roman"/>
        </w:rPr>
        <w:t>.</w:t>
      </w:r>
    </w:p>
    <w:p w14:paraId="77884CB5" w14:textId="77777777" w:rsidR="004E1758" w:rsidRPr="00913F2D" w:rsidRDefault="004E1758" w:rsidP="00913F2D">
      <w:pPr>
        <w:spacing w:after="0"/>
        <w:rPr>
          <w:rFonts w:ascii="Times New Roman" w:hAnsi="Times New Roman" w:cs="Times New Roman"/>
        </w:rPr>
      </w:pPr>
    </w:p>
    <w:p w14:paraId="42F3BE0E" w14:textId="77777777" w:rsidR="004E1758" w:rsidRPr="00913F2D" w:rsidRDefault="004E1758" w:rsidP="00913F2D">
      <w:pPr>
        <w:pStyle w:val="ListParagraph"/>
        <w:numPr>
          <w:ilvl w:val="0"/>
          <w:numId w:val="5"/>
        </w:numPr>
        <w:spacing w:after="0"/>
        <w:rPr>
          <w:rFonts w:ascii="Times New Roman" w:hAnsi="Times New Roman" w:cs="Times New Roman"/>
        </w:rPr>
      </w:pPr>
      <w:r w:rsidRPr="00913F2D">
        <w:rPr>
          <w:rFonts w:ascii="Times New Roman" w:hAnsi="Times New Roman" w:cs="Times New Roman"/>
        </w:rPr>
        <w:t>To develop ARIMA, ARIMAX, and VAR models for forecasting fuel prices, incorporating the exchange rate (GHS/USD), Brent crude oil prices, and inflation (CPI) as relevant external variables.</w:t>
      </w:r>
    </w:p>
    <w:p w14:paraId="1BCEF422" w14:textId="77777777" w:rsidR="004E1758" w:rsidRPr="00913F2D" w:rsidRDefault="004E1758" w:rsidP="00913F2D">
      <w:pPr>
        <w:spacing w:after="0"/>
        <w:rPr>
          <w:rFonts w:ascii="Times New Roman" w:hAnsi="Times New Roman" w:cs="Times New Roman"/>
        </w:rPr>
      </w:pPr>
    </w:p>
    <w:p w14:paraId="6D78760B" w14:textId="77777777" w:rsidR="004E1758" w:rsidRPr="00913F2D" w:rsidRDefault="004E1758" w:rsidP="00913F2D">
      <w:pPr>
        <w:pStyle w:val="ListParagraph"/>
        <w:numPr>
          <w:ilvl w:val="0"/>
          <w:numId w:val="5"/>
        </w:numPr>
        <w:spacing w:after="0"/>
        <w:rPr>
          <w:rFonts w:ascii="Times New Roman" w:hAnsi="Times New Roman" w:cs="Times New Roman"/>
        </w:rPr>
      </w:pPr>
      <w:r w:rsidRPr="00913F2D">
        <w:rPr>
          <w:rFonts w:ascii="Times New Roman" w:hAnsi="Times New Roman" w:cs="Times New Roman"/>
        </w:rPr>
        <w:t>To assess the influence of exchange rate and Brent crude oil shocks on fuel price movements in Ghana using Granger causality tests.</w:t>
      </w:r>
    </w:p>
    <w:p w14:paraId="41557EF4" w14:textId="77777777" w:rsidR="004E1758" w:rsidRPr="00913F2D" w:rsidRDefault="004E1758" w:rsidP="00913F2D">
      <w:pPr>
        <w:spacing w:after="0"/>
        <w:rPr>
          <w:rFonts w:ascii="Times New Roman" w:hAnsi="Times New Roman" w:cs="Times New Roman"/>
        </w:rPr>
      </w:pPr>
    </w:p>
    <w:p w14:paraId="07F43355" w14:textId="23A17EF0" w:rsidR="004E1758" w:rsidRPr="00913F2D" w:rsidRDefault="004E1758" w:rsidP="00913F2D">
      <w:pPr>
        <w:pStyle w:val="ListParagraph"/>
        <w:numPr>
          <w:ilvl w:val="0"/>
          <w:numId w:val="5"/>
        </w:numPr>
        <w:spacing w:after="0"/>
        <w:rPr>
          <w:rFonts w:ascii="Times New Roman" w:hAnsi="Times New Roman" w:cs="Times New Roman"/>
        </w:rPr>
      </w:pPr>
      <w:r w:rsidRPr="00913F2D">
        <w:rPr>
          <w:rFonts w:ascii="Times New Roman" w:hAnsi="Times New Roman" w:cs="Times New Roman"/>
        </w:rPr>
        <w:t>To compare the forecasting accuracy of the three models across 1–</w:t>
      </w:r>
      <w:r w:rsidR="00A24D29" w:rsidRPr="00913F2D">
        <w:rPr>
          <w:rFonts w:ascii="Times New Roman" w:hAnsi="Times New Roman" w:cs="Times New Roman"/>
        </w:rPr>
        <w:t>6-month</w:t>
      </w:r>
      <w:r w:rsidRPr="00913F2D">
        <w:rPr>
          <w:rFonts w:ascii="Times New Roman" w:hAnsi="Times New Roman" w:cs="Times New Roman"/>
        </w:rPr>
        <w:t xml:space="preserve"> forecast horizons using RMSE, MAE, MAPE, and the Diebold-Mariano test.</w:t>
      </w:r>
    </w:p>
    <w:p w14:paraId="3E61EB71" w14:textId="77777777" w:rsidR="004E1758" w:rsidRPr="00913F2D" w:rsidRDefault="004E1758" w:rsidP="00913F2D">
      <w:pPr>
        <w:spacing w:after="0"/>
        <w:rPr>
          <w:rFonts w:ascii="Times New Roman" w:hAnsi="Times New Roman" w:cs="Times New Roman"/>
        </w:rPr>
      </w:pPr>
    </w:p>
    <w:p w14:paraId="4D92244B" w14:textId="6B0FF95C" w:rsidR="004E1758" w:rsidRPr="00913F2D" w:rsidRDefault="004E1758" w:rsidP="00913F2D">
      <w:pPr>
        <w:pStyle w:val="ListParagraph"/>
        <w:numPr>
          <w:ilvl w:val="0"/>
          <w:numId w:val="5"/>
        </w:numPr>
        <w:spacing w:after="0"/>
        <w:rPr>
          <w:rFonts w:ascii="Times New Roman" w:hAnsi="Times New Roman" w:cs="Times New Roman"/>
        </w:rPr>
      </w:pPr>
      <w:r w:rsidRPr="00913F2D">
        <w:rPr>
          <w:rFonts w:ascii="Times New Roman" w:hAnsi="Times New Roman" w:cs="Times New Roman"/>
        </w:rPr>
        <w:t>To evaluate the practical utility of the models in providing 1–</w:t>
      </w:r>
      <w:r w:rsidR="00A24D29" w:rsidRPr="00913F2D">
        <w:rPr>
          <w:rFonts w:ascii="Times New Roman" w:hAnsi="Times New Roman" w:cs="Times New Roman"/>
        </w:rPr>
        <w:t>6-month</w:t>
      </w:r>
      <w:r w:rsidRPr="00913F2D">
        <w:rPr>
          <w:rFonts w:ascii="Times New Roman" w:hAnsi="Times New Roman" w:cs="Times New Roman"/>
        </w:rPr>
        <w:t xml:space="preserve"> advance warning of fuel price changes to consumers and policymakers in Ghana.</w:t>
      </w:r>
    </w:p>
    <w:p w14:paraId="7A872DB4" w14:textId="77777777" w:rsidR="004E1758" w:rsidRPr="00913F2D" w:rsidRDefault="004E1758" w:rsidP="00913F2D">
      <w:pPr>
        <w:spacing w:after="0"/>
        <w:rPr>
          <w:rFonts w:ascii="Times New Roman" w:hAnsi="Times New Roman" w:cs="Times New Roman"/>
        </w:rPr>
      </w:pPr>
    </w:p>
    <w:p w14:paraId="2EF15824"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1.4 Significance of the Study</w:t>
      </w:r>
    </w:p>
    <w:p w14:paraId="7BCF1964"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The findings of this study will be of interest to various stakeholders such as policymakers, consumers, regulatory bodies, and the academic community. In particular, the paper offers the following contributions:</w:t>
      </w:r>
    </w:p>
    <w:p w14:paraId="530E19FF" w14:textId="77777777" w:rsidR="004E1758" w:rsidRPr="00913F2D" w:rsidRDefault="004E1758" w:rsidP="00913F2D">
      <w:pPr>
        <w:spacing w:after="0"/>
        <w:rPr>
          <w:rFonts w:ascii="Times New Roman" w:hAnsi="Times New Roman" w:cs="Times New Roman"/>
        </w:rPr>
      </w:pPr>
    </w:p>
    <w:p w14:paraId="5F083176"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Policymakers and Government Agencies: The forecasting models developed in this study provide an empirical tool to assist proactive fiscal and energy policy decisions. By anticipating movements in fuel prices, government agencies can design timely interventions to cushion the economy against the adverse effects of price volatility.</w:t>
      </w:r>
    </w:p>
    <w:p w14:paraId="585E764D" w14:textId="77777777" w:rsidR="004E1758" w:rsidRPr="00913F2D" w:rsidRDefault="004E1758" w:rsidP="00913F2D">
      <w:pPr>
        <w:spacing w:after="0"/>
        <w:rPr>
          <w:rFonts w:ascii="Times New Roman" w:hAnsi="Times New Roman" w:cs="Times New Roman"/>
        </w:rPr>
      </w:pPr>
    </w:p>
    <w:p w14:paraId="3AED3A2B"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The National Petroleum Authority (NPA): As the regulatory body responsible for fuel pricing in Ghana, the NPA stands to benefit directly from accurate short-term forecasts. These forecasts can help inform changes to the Unified Pricing Formula and allow for more transparent and data-driven pricing decisions.</w:t>
      </w:r>
    </w:p>
    <w:p w14:paraId="39DD676D" w14:textId="77777777" w:rsidR="004E1758" w:rsidRPr="00913F2D" w:rsidRDefault="004E1758" w:rsidP="00913F2D">
      <w:pPr>
        <w:spacing w:after="0"/>
        <w:rPr>
          <w:rFonts w:ascii="Times New Roman" w:hAnsi="Times New Roman" w:cs="Times New Roman"/>
        </w:rPr>
      </w:pPr>
    </w:p>
    <w:p w14:paraId="7DD59856"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Consumers and Households: Advance notice of changes in fuel prices provides households and firms with the opportunity to better plan their expenditure, especially since the cost of fuel directly affects the prices of goods, transportation, and other essential services.</w:t>
      </w:r>
    </w:p>
    <w:p w14:paraId="06420FFC" w14:textId="77777777" w:rsidR="004E1758" w:rsidRPr="00913F2D" w:rsidRDefault="004E1758" w:rsidP="00913F2D">
      <w:pPr>
        <w:spacing w:after="0"/>
        <w:rPr>
          <w:rFonts w:ascii="Times New Roman" w:hAnsi="Times New Roman" w:cs="Times New Roman"/>
        </w:rPr>
      </w:pPr>
    </w:p>
    <w:p w14:paraId="2F6BEA06"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Researchers and Academics: The study adds to the growing literature on time series forecasting in developing economies. The comparative framework employing ARIMA, ARIMAX, and VAR models in a unified Ghanaian setting offers a methodological reference for future research on commodity price forecasting in Sub-Saharan Africa.</w:t>
      </w:r>
    </w:p>
    <w:p w14:paraId="59FDB9DA" w14:textId="77777777" w:rsidR="004E1758" w:rsidRPr="00913F2D" w:rsidRDefault="004E1758" w:rsidP="00913F2D">
      <w:pPr>
        <w:spacing w:after="0"/>
        <w:rPr>
          <w:rFonts w:ascii="Times New Roman" w:hAnsi="Times New Roman" w:cs="Times New Roman"/>
        </w:rPr>
      </w:pPr>
    </w:p>
    <w:p w14:paraId="75CFB995"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lastRenderedPageBreak/>
        <w:t>Bulk Distribution Companies (BDCs): Fuel distributors can use price forecasts for procurement, inventory management, and pricing strategies, thereby reducing their exposure to supply-side shocks.</w:t>
      </w:r>
    </w:p>
    <w:p w14:paraId="3D0F7DB8" w14:textId="77777777" w:rsidR="004E1758" w:rsidRPr="00913F2D" w:rsidRDefault="004E1758" w:rsidP="00913F2D">
      <w:pPr>
        <w:spacing w:after="0"/>
        <w:rPr>
          <w:rFonts w:ascii="Times New Roman" w:hAnsi="Times New Roman" w:cs="Times New Roman"/>
        </w:rPr>
      </w:pPr>
    </w:p>
    <w:p w14:paraId="1656C799"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1.5 Methodology Overview</w:t>
      </w:r>
    </w:p>
    <w:p w14:paraId="1A340490" w14:textId="0E4EA37F"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 xml:space="preserve">The study is based on secondary data collected from four primary sources. Monthly fuel prices for petrol, diesel, and LPG were obtained from the National Petroleum Authority (NPA) of Ghana. Exchange rate data (GHS/USD) were sourced from the Bank of Ghana, and Brent crude oil price data were acquired from the U.S. Energy Information Administration (EIA). Data on inflation, measured by the Consumer Price Index (CPI), were obtained from the Ghana Statistical Service (GSS). The study utilizes a monthly time series from </w:t>
      </w:r>
      <w:r w:rsidR="003B485B">
        <w:rPr>
          <w:rFonts w:ascii="Times New Roman" w:hAnsi="Times New Roman" w:cs="Times New Roman"/>
        </w:rPr>
        <w:t>July</w:t>
      </w:r>
      <w:r w:rsidRPr="00913F2D">
        <w:rPr>
          <w:rFonts w:ascii="Times New Roman" w:hAnsi="Times New Roman" w:cs="Times New Roman"/>
        </w:rPr>
        <w:t xml:space="preserve"> 201</w:t>
      </w:r>
      <w:r w:rsidR="003B485B">
        <w:rPr>
          <w:rFonts w:ascii="Times New Roman" w:hAnsi="Times New Roman" w:cs="Times New Roman"/>
        </w:rPr>
        <w:t>5</w:t>
      </w:r>
      <w:r w:rsidRPr="00913F2D">
        <w:rPr>
          <w:rFonts w:ascii="Times New Roman" w:hAnsi="Times New Roman" w:cs="Times New Roman"/>
        </w:rPr>
        <w:t xml:space="preserve"> to </w:t>
      </w:r>
      <w:r w:rsidR="003B485B">
        <w:rPr>
          <w:rFonts w:ascii="Times New Roman" w:hAnsi="Times New Roman" w:cs="Times New Roman"/>
        </w:rPr>
        <w:t>June</w:t>
      </w:r>
      <w:r w:rsidRPr="00913F2D">
        <w:rPr>
          <w:rFonts w:ascii="Times New Roman" w:hAnsi="Times New Roman" w:cs="Times New Roman"/>
        </w:rPr>
        <w:t xml:space="preserve"> 202</w:t>
      </w:r>
      <w:r w:rsidR="003B485B">
        <w:rPr>
          <w:rFonts w:ascii="Times New Roman" w:hAnsi="Times New Roman" w:cs="Times New Roman"/>
        </w:rPr>
        <w:t>6</w:t>
      </w:r>
      <w:r w:rsidRPr="00913F2D">
        <w:rPr>
          <w:rFonts w:ascii="Times New Roman" w:hAnsi="Times New Roman" w:cs="Times New Roman"/>
        </w:rPr>
        <w:t>, yielding 13</w:t>
      </w:r>
      <w:r w:rsidR="003B485B">
        <w:rPr>
          <w:rFonts w:ascii="Times New Roman" w:hAnsi="Times New Roman" w:cs="Times New Roman"/>
        </w:rPr>
        <w:t>3</w:t>
      </w:r>
      <w:r w:rsidRPr="00913F2D">
        <w:rPr>
          <w:rFonts w:ascii="Times New Roman" w:hAnsi="Times New Roman" w:cs="Times New Roman"/>
        </w:rPr>
        <w:t xml:space="preserve"> observations for each variable.</w:t>
      </w:r>
    </w:p>
    <w:p w14:paraId="589FC2D5" w14:textId="77777777" w:rsidR="004E1758" w:rsidRPr="00913F2D" w:rsidRDefault="004E1758" w:rsidP="00913F2D">
      <w:pPr>
        <w:spacing w:after="0"/>
        <w:rPr>
          <w:rFonts w:ascii="Times New Roman" w:hAnsi="Times New Roman" w:cs="Times New Roman"/>
        </w:rPr>
      </w:pPr>
    </w:p>
    <w:p w14:paraId="040239E7"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Fuel prices were forecasted using three time series models. As a univariate baseline model, we first fitted an autoregressive integrated moving average (ARIMA) model to each fuel price series. Secondly, an ARIMAX model was developed incorporating the exchange rate and Brent crude oil prices as external regressors to capture the effect of external shocks on fuel prices. Third, we estimated a Vector Autoregression (VAR) model to jointly model fuel prices with the exchange rate, Brent crude oil prices, and inflation (CPI), allowing for dynamic interactions among all variables.</w:t>
      </w:r>
    </w:p>
    <w:p w14:paraId="64740232" w14:textId="77777777" w:rsidR="004E1758" w:rsidRPr="00913F2D" w:rsidRDefault="004E1758" w:rsidP="00913F2D">
      <w:pPr>
        <w:spacing w:after="0"/>
        <w:rPr>
          <w:rFonts w:ascii="Times New Roman" w:hAnsi="Times New Roman" w:cs="Times New Roman"/>
        </w:rPr>
      </w:pPr>
    </w:p>
    <w:p w14:paraId="5185299B"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Before the estimation of the models, all series were tested for stationarity using the Augmented Dickey-Fuller (ADF) test. Forecast accuracy was evaluated using standard metrics, including the Root Mean Square Error (RMSE), Mean Absolute Error (MAE), and Mean Absolute Percentage Error (MAPE).</w:t>
      </w:r>
    </w:p>
    <w:p w14:paraId="7C99F94B" w14:textId="77777777" w:rsidR="004E1758" w:rsidRPr="00913F2D" w:rsidRDefault="004E1758" w:rsidP="00913F2D">
      <w:pPr>
        <w:spacing w:after="0"/>
        <w:rPr>
          <w:rFonts w:ascii="Times New Roman" w:hAnsi="Times New Roman" w:cs="Times New Roman"/>
        </w:rPr>
      </w:pPr>
    </w:p>
    <w:p w14:paraId="39FDB838"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All data processing, model estimation, and forecast evaluations were performed in Python (version 3.12.5). The libraries used include statsmodels (Seabold &amp; Perktold, 2010) for the estimation of the ARIMA, ARIMAX, and VAR models; pandas (McKinney, 2010) for data manipulation; and matplotlib (Hunter, 2007) and seaborn (Waskom, 2021) for graphical visualization. Model diagnostic tests and forecast accuracy measures were calculated using built-in functions from the statsmodels and scikit-learn (Pedregosa et al., 2011) libraries.</w:t>
      </w:r>
    </w:p>
    <w:p w14:paraId="55910D7D" w14:textId="77777777" w:rsidR="004E1758" w:rsidRPr="00913F2D" w:rsidRDefault="004E1758" w:rsidP="00913F2D">
      <w:pPr>
        <w:spacing w:after="0"/>
        <w:rPr>
          <w:rFonts w:ascii="Times New Roman" w:hAnsi="Times New Roman" w:cs="Times New Roman"/>
        </w:rPr>
      </w:pPr>
    </w:p>
    <w:p w14:paraId="38BF69C0" w14:textId="1581C02E"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 xml:space="preserve">1.6 </w:t>
      </w:r>
      <w:r w:rsidR="003B485B" w:rsidRPr="00913F2D">
        <w:rPr>
          <w:rFonts w:ascii="Times New Roman" w:hAnsi="Times New Roman" w:cs="Times New Roman"/>
        </w:rPr>
        <w:t>Organization</w:t>
      </w:r>
      <w:r w:rsidRPr="00913F2D">
        <w:rPr>
          <w:rFonts w:ascii="Times New Roman" w:hAnsi="Times New Roman" w:cs="Times New Roman"/>
        </w:rPr>
        <w:t xml:space="preserve"> of the Study</w:t>
      </w:r>
    </w:p>
    <w:p w14:paraId="2248AF76"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 xml:space="preserve">The study is organized into five chapters. Chapter One provides the background of the study, the problem statement, objectives, the significance of the study, a brief overview of the methodology, and the organization of the study. Chapter Two presents a review of relevant literature, encompassing theoretical frameworks and empirical studies relevant to fuel price dynamics, time series forecasting, and the application of ARIMA, ARIMAX, and VAR models in commodity price forecasting. Chapter Three describes the methodology used for the study, detailing data sources, variable descriptions, model specifications, stationarity testing procedures, and forecast evaluation criteria. Chapter Four presents and discusses the results of the data analysis, including descriptive statistics, model estimation outputs, forecast </w:t>
      </w:r>
      <w:r w:rsidRPr="00913F2D">
        <w:rPr>
          <w:rFonts w:ascii="Times New Roman" w:hAnsi="Times New Roman" w:cs="Times New Roman"/>
        </w:rPr>
        <w:lastRenderedPageBreak/>
        <w:t>performance, and a comparative evaluation of the three models. Finally, Chapter Five summarizes the key findings, draws conclusions, and offers recommendations for policymakers, regulatory authorities, and future researchers.</w:t>
      </w:r>
    </w:p>
    <w:p w14:paraId="59800AFF" w14:textId="77777777" w:rsidR="004E1758" w:rsidRPr="00913F2D" w:rsidRDefault="004E1758" w:rsidP="00913F2D">
      <w:pPr>
        <w:spacing w:after="0"/>
        <w:rPr>
          <w:rFonts w:ascii="Times New Roman" w:hAnsi="Times New Roman" w:cs="Times New Roman"/>
        </w:rPr>
      </w:pPr>
    </w:p>
    <w:p w14:paraId="2032BD45"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REFERENCES</w:t>
      </w:r>
    </w:p>
    <w:p w14:paraId="5593B15E"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Addae, E., &amp; Ackah, I. (2017). Inflation dynamics in pre and post deregulation era in Ghana: Do petroleum prices have any influence? MPRA Paper 77496. University Library of Munich. https://mpra.ub.uni-muenchen.de/77496/</w:t>
      </w:r>
    </w:p>
    <w:p w14:paraId="1E0850EC" w14:textId="77777777" w:rsidR="004E1758" w:rsidRPr="00913F2D" w:rsidRDefault="004E1758" w:rsidP="00913F2D">
      <w:pPr>
        <w:spacing w:after="0"/>
        <w:rPr>
          <w:rFonts w:ascii="Times New Roman" w:hAnsi="Times New Roman" w:cs="Times New Roman"/>
        </w:rPr>
      </w:pPr>
    </w:p>
    <w:p w14:paraId="4015252E"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Alom, F., Ward, B. D., &amp; Hu, B. (2013). Macroeconomic effects of world oil and food price shocks in Asia and Pacific economies: Application of SVAR models. OPEC Energy Review, 37(3), 327–372. https://doi.org/10.1111/opec.12015</w:t>
      </w:r>
    </w:p>
    <w:p w14:paraId="06403F70" w14:textId="77777777" w:rsidR="004E1758" w:rsidRPr="00913F2D" w:rsidRDefault="004E1758" w:rsidP="00913F2D">
      <w:pPr>
        <w:spacing w:after="0"/>
        <w:rPr>
          <w:rFonts w:ascii="Times New Roman" w:hAnsi="Times New Roman" w:cs="Times New Roman"/>
        </w:rPr>
      </w:pPr>
    </w:p>
    <w:p w14:paraId="69CE6A7A"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Bank of Ghana. (2023). Annual report 2022. Bank of Ghana. https://www.bog.gov.gh/wp-content/uploads/2023/07/Annual-Report-2022.pdf</w:t>
      </w:r>
    </w:p>
    <w:p w14:paraId="2ED7AC67" w14:textId="77777777" w:rsidR="004E1758" w:rsidRPr="00913F2D" w:rsidRDefault="004E1758" w:rsidP="00913F2D">
      <w:pPr>
        <w:spacing w:after="0"/>
        <w:rPr>
          <w:rFonts w:ascii="Times New Roman" w:hAnsi="Times New Roman" w:cs="Times New Roman"/>
        </w:rPr>
      </w:pPr>
    </w:p>
    <w:p w14:paraId="22FDBC58"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Baumeister, C., &amp; Kilian, L. (2014). What central bankers need to know about forecasting oil prices. International Economic Review, 55(3), 869–889. https://doi.org/10.1111/iere.12074</w:t>
      </w:r>
    </w:p>
    <w:p w14:paraId="7B2F3609" w14:textId="77777777" w:rsidR="004E1758" w:rsidRPr="00913F2D" w:rsidRDefault="004E1758" w:rsidP="00913F2D">
      <w:pPr>
        <w:spacing w:after="0"/>
        <w:rPr>
          <w:rFonts w:ascii="Times New Roman" w:hAnsi="Times New Roman" w:cs="Times New Roman"/>
        </w:rPr>
      </w:pPr>
    </w:p>
    <w:p w14:paraId="5D38EEB4"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Bawa, S., Abdullahi, I. S., &amp; Ibrahim, A. (2016). Analysis of inflation dynamics in Nigeria (1981–2015). CBN Journal of Applied Statistics, 7(1b), 255–276. https://dc.cbn.gov.ng/jas/vol7/iss1/12</w:t>
      </w:r>
    </w:p>
    <w:p w14:paraId="6C2A5DE8" w14:textId="77777777" w:rsidR="004E1758" w:rsidRPr="00913F2D" w:rsidRDefault="004E1758" w:rsidP="00913F2D">
      <w:pPr>
        <w:spacing w:after="0"/>
        <w:rPr>
          <w:rFonts w:ascii="Times New Roman" w:hAnsi="Times New Roman" w:cs="Times New Roman"/>
        </w:rPr>
      </w:pPr>
    </w:p>
    <w:p w14:paraId="30618A6A"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Ghana Statistical Service. (2023). Consumer price index: December 2022 report. Author. https://statsghana.gov.gh</w:t>
      </w:r>
    </w:p>
    <w:p w14:paraId="2907C52C" w14:textId="77777777" w:rsidR="004E1758" w:rsidRPr="00913F2D" w:rsidRDefault="004E1758" w:rsidP="00913F2D">
      <w:pPr>
        <w:spacing w:after="0"/>
        <w:rPr>
          <w:rFonts w:ascii="Times New Roman" w:hAnsi="Times New Roman" w:cs="Times New Roman"/>
        </w:rPr>
      </w:pPr>
    </w:p>
    <w:p w14:paraId="2A23F976"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Hamilton, J. D. (2009). Causes and consequences of the oil shock of 2007–08. Brookings Papers on Economic Activity, Spring 2009, 215–261. https://www.brookings.edu/bpea-articles/causes-and-consequences-of-the-oil-shock-of-2007-08</w:t>
      </w:r>
    </w:p>
    <w:p w14:paraId="4125DA7D" w14:textId="77777777" w:rsidR="004E1758" w:rsidRPr="00913F2D" w:rsidRDefault="004E1758" w:rsidP="00913F2D">
      <w:pPr>
        <w:spacing w:after="0"/>
        <w:rPr>
          <w:rFonts w:ascii="Times New Roman" w:hAnsi="Times New Roman" w:cs="Times New Roman"/>
        </w:rPr>
      </w:pPr>
    </w:p>
    <w:p w14:paraId="643BD735"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Hunter, J. D. (2007). Matplotlib: A 2D graphics environment. Computing in Science &amp; Engineering, 9(3), 90–95. https://doi.org/10.1109/MCSE.2007.55</w:t>
      </w:r>
    </w:p>
    <w:p w14:paraId="66BBF860" w14:textId="77777777" w:rsidR="004E1758" w:rsidRPr="00913F2D" w:rsidRDefault="004E1758" w:rsidP="00913F2D">
      <w:pPr>
        <w:spacing w:after="0"/>
        <w:rPr>
          <w:rFonts w:ascii="Times New Roman" w:hAnsi="Times New Roman" w:cs="Times New Roman"/>
        </w:rPr>
      </w:pPr>
    </w:p>
    <w:p w14:paraId="543458D6"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Jammazi, R., &amp; Aloui, C. (2012). Crude oil price forecasting: Experimental evidence from wavelet decomposition and neural network modeling. Energy Economics, 34(3), 828–841. https://doi.org/10.1016/j.eneco.2011.07.018</w:t>
      </w:r>
    </w:p>
    <w:p w14:paraId="7740DB09" w14:textId="77777777" w:rsidR="004E1758" w:rsidRPr="00913F2D" w:rsidRDefault="004E1758" w:rsidP="00913F2D">
      <w:pPr>
        <w:spacing w:after="0"/>
        <w:rPr>
          <w:rFonts w:ascii="Times New Roman" w:hAnsi="Times New Roman" w:cs="Times New Roman"/>
        </w:rPr>
      </w:pPr>
    </w:p>
    <w:p w14:paraId="0E1FEB8C"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Kilian, L. (2009). Not all oil price shocks are alike: Disentangling demand and supply shocks in the crude oil market. American Economic Review, 99(3), 1053–1069. https://doi.org/10.1257/aer.99.3.1053</w:t>
      </w:r>
    </w:p>
    <w:p w14:paraId="799C1653" w14:textId="77777777" w:rsidR="004E1758" w:rsidRPr="00913F2D" w:rsidRDefault="004E1758" w:rsidP="00913F2D">
      <w:pPr>
        <w:spacing w:after="0"/>
        <w:rPr>
          <w:rFonts w:ascii="Times New Roman" w:hAnsi="Times New Roman" w:cs="Times New Roman"/>
        </w:rPr>
      </w:pPr>
    </w:p>
    <w:p w14:paraId="74115E64"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McKinney, W. (2010). Data structures for statistical computing in Python. In Proceedings of the 9th Python in Science Conference (pp. 51–56).</w:t>
      </w:r>
    </w:p>
    <w:p w14:paraId="595F266D" w14:textId="77777777" w:rsidR="004E1758" w:rsidRPr="00913F2D" w:rsidRDefault="004E1758" w:rsidP="00913F2D">
      <w:pPr>
        <w:spacing w:after="0"/>
        <w:rPr>
          <w:rFonts w:ascii="Times New Roman" w:hAnsi="Times New Roman" w:cs="Times New Roman"/>
        </w:rPr>
      </w:pPr>
    </w:p>
    <w:p w14:paraId="3252066E"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National Petroleum Authority. (2023). Petroleum pricing formula regulations (L.I. 2186). National Petroleum Authority. https://npa.gov.gh/wp-content/uploads/2023/09/Petroleum-Pricing-Formula-Regulations-LI-2186-1.pdf</w:t>
      </w:r>
    </w:p>
    <w:p w14:paraId="0FCD73D8" w14:textId="77777777" w:rsidR="004E1758" w:rsidRPr="00913F2D" w:rsidRDefault="004E1758" w:rsidP="00913F2D">
      <w:pPr>
        <w:spacing w:after="0"/>
        <w:rPr>
          <w:rFonts w:ascii="Times New Roman" w:hAnsi="Times New Roman" w:cs="Times New Roman"/>
        </w:rPr>
      </w:pPr>
    </w:p>
    <w:p w14:paraId="57E1DCB1"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0EDC471F" w14:textId="77777777" w:rsidR="004E1758" w:rsidRPr="00913F2D" w:rsidRDefault="004E1758" w:rsidP="00913F2D">
      <w:pPr>
        <w:spacing w:after="0"/>
        <w:rPr>
          <w:rFonts w:ascii="Times New Roman" w:hAnsi="Times New Roman" w:cs="Times New Roman"/>
        </w:rPr>
      </w:pPr>
    </w:p>
    <w:p w14:paraId="33A13B6A"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Seabold, S., &amp; Perktold, J. (2010). Statsmodels: Econometric and statistical modeling with Python. In Proceedings of the 9th Python in Science Conference (pp. 57–61).</w:t>
      </w:r>
    </w:p>
    <w:p w14:paraId="4B713277" w14:textId="77777777" w:rsidR="004E1758" w:rsidRPr="00913F2D" w:rsidRDefault="004E1758" w:rsidP="00913F2D">
      <w:pPr>
        <w:spacing w:after="0"/>
        <w:rPr>
          <w:rFonts w:ascii="Times New Roman" w:hAnsi="Times New Roman" w:cs="Times New Roman"/>
        </w:rPr>
      </w:pPr>
    </w:p>
    <w:p w14:paraId="50A9DAB8" w14:textId="77777777"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U.S. Energy Information Administration. (2023). Europe Brent spot price FOB [Data set]. U.S. Energy Information Administration. https://www.eia.gov/dnav/pet/hist/LeafHandler.ashx?n=PET&amp;s=RBRTE&amp;f=M</w:t>
      </w:r>
    </w:p>
    <w:p w14:paraId="1F38965E" w14:textId="77777777" w:rsidR="004E1758" w:rsidRPr="00913F2D" w:rsidRDefault="004E1758" w:rsidP="00913F2D">
      <w:pPr>
        <w:spacing w:after="0"/>
        <w:rPr>
          <w:rFonts w:ascii="Times New Roman" w:hAnsi="Times New Roman" w:cs="Times New Roman"/>
        </w:rPr>
      </w:pPr>
    </w:p>
    <w:p w14:paraId="1916055F" w14:textId="58ED5F9A" w:rsidR="004E1758" w:rsidRPr="00913F2D" w:rsidRDefault="004E1758" w:rsidP="00913F2D">
      <w:pPr>
        <w:spacing w:after="0"/>
        <w:rPr>
          <w:rFonts w:ascii="Times New Roman" w:hAnsi="Times New Roman" w:cs="Times New Roman"/>
        </w:rPr>
      </w:pPr>
      <w:r w:rsidRPr="00913F2D">
        <w:rPr>
          <w:rFonts w:ascii="Times New Roman" w:hAnsi="Times New Roman" w:cs="Times New Roman"/>
        </w:rPr>
        <w:t>Waskom, M. L. (2021). Seaborn: Statistical data visualization. Journal of Open Source Software, 6(60), 3021. https://doi.org/10.21105/joss.03021</w:t>
      </w:r>
    </w:p>
    <w:p w14:paraId="62B5EDE0" w14:textId="77777777" w:rsidR="00846656" w:rsidRPr="00913F2D" w:rsidRDefault="00846656" w:rsidP="00913F2D">
      <w:pPr>
        <w:spacing w:after="0"/>
        <w:rPr>
          <w:rFonts w:ascii="Times New Roman" w:hAnsi="Times New Roman" w:cs="Times New Roman"/>
        </w:rPr>
      </w:pPr>
    </w:p>
    <w:p w14:paraId="05B363C4" w14:textId="77777777" w:rsidR="00846656" w:rsidRPr="00913F2D" w:rsidRDefault="00846656" w:rsidP="00913F2D">
      <w:pPr>
        <w:spacing w:after="0"/>
        <w:rPr>
          <w:rFonts w:ascii="Times New Roman" w:hAnsi="Times New Roman" w:cs="Times New Roman"/>
        </w:rPr>
      </w:pPr>
    </w:p>
    <w:p w14:paraId="5C8CE5E6" w14:textId="77777777" w:rsidR="004E7516" w:rsidRPr="00913F2D" w:rsidRDefault="004E7516" w:rsidP="00913F2D">
      <w:pPr>
        <w:spacing w:after="0"/>
        <w:rPr>
          <w:rFonts w:ascii="Times New Roman" w:hAnsi="Times New Roman" w:cs="Times New Roman"/>
        </w:rPr>
      </w:pPr>
    </w:p>
    <w:sectPr w:rsidR="004E7516" w:rsidRPr="00913F2D">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13780" w14:textId="77777777" w:rsidR="00356B99" w:rsidRDefault="00356B99" w:rsidP="00F92172">
      <w:pPr>
        <w:spacing w:after="0" w:line="240" w:lineRule="auto"/>
      </w:pPr>
      <w:r>
        <w:separator/>
      </w:r>
    </w:p>
  </w:endnote>
  <w:endnote w:type="continuationSeparator" w:id="0">
    <w:p w14:paraId="0837DE8A" w14:textId="77777777" w:rsidR="00356B99" w:rsidRDefault="00356B99" w:rsidP="00F92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A74F" w14:textId="77777777" w:rsidR="00F92172" w:rsidRDefault="00F921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469322"/>
      <w:docPartObj>
        <w:docPartGallery w:val="Page Numbers (Bottom of Page)"/>
        <w:docPartUnique/>
      </w:docPartObj>
    </w:sdtPr>
    <w:sdtEndPr>
      <w:rPr>
        <w:color w:val="7F7F7F" w:themeColor="background1" w:themeShade="7F"/>
        <w:spacing w:val="60"/>
      </w:rPr>
    </w:sdtEndPr>
    <w:sdtContent>
      <w:p w14:paraId="2D196D2B" w14:textId="23F72EBF" w:rsidR="00F92172" w:rsidRDefault="00F9217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4DCF346" w14:textId="77777777" w:rsidR="00F92172" w:rsidRDefault="00F921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35826" w14:textId="77777777" w:rsidR="00F92172" w:rsidRDefault="00F921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9B616" w14:textId="77777777" w:rsidR="00356B99" w:rsidRDefault="00356B99" w:rsidP="00F92172">
      <w:pPr>
        <w:spacing w:after="0" w:line="240" w:lineRule="auto"/>
      </w:pPr>
      <w:r>
        <w:separator/>
      </w:r>
    </w:p>
  </w:footnote>
  <w:footnote w:type="continuationSeparator" w:id="0">
    <w:p w14:paraId="01753C68" w14:textId="77777777" w:rsidR="00356B99" w:rsidRDefault="00356B99" w:rsidP="00F921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EBE62" w14:textId="77777777" w:rsidR="00F92172" w:rsidRDefault="00F921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61759" w14:textId="77777777" w:rsidR="00F92172" w:rsidRDefault="00F921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B7C1E" w14:textId="77777777" w:rsidR="00F92172" w:rsidRDefault="00F921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6DDB"/>
    <w:multiLevelType w:val="multilevel"/>
    <w:tmpl w:val="6916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B2DFE"/>
    <w:multiLevelType w:val="multilevel"/>
    <w:tmpl w:val="304AD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167AD"/>
    <w:multiLevelType w:val="multilevel"/>
    <w:tmpl w:val="3200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548"/>
    <w:multiLevelType w:val="hybridMultilevel"/>
    <w:tmpl w:val="27ECD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360BDA"/>
    <w:multiLevelType w:val="multilevel"/>
    <w:tmpl w:val="96B04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898999">
    <w:abstractNumId w:val="4"/>
  </w:num>
  <w:num w:numId="2" w16cid:durableId="1900094933">
    <w:abstractNumId w:val="2"/>
  </w:num>
  <w:num w:numId="3" w16cid:durableId="1765958862">
    <w:abstractNumId w:val="0"/>
  </w:num>
  <w:num w:numId="4" w16cid:durableId="759955608">
    <w:abstractNumId w:val="1"/>
  </w:num>
  <w:num w:numId="5" w16cid:durableId="12292650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548"/>
    <w:rsid w:val="000631D5"/>
    <w:rsid w:val="00076B85"/>
    <w:rsid w:val="000C21A2"/>
    <w:rsid w:val="000C4E72"/>
    <w:rsid w:val="000C56F3"/>
    <w:rsid w:val="000C7455"/>
    <w:rsid w:val="00104A6C"/>
    <w:rsid w:val="00110935"/>
    <w:rsid w:val="00122548"/>
    <w:rsid w:val="001469AE"/>
    <w:rsid w:val="001D1E58"/>
    <w:rsid w:val="001E3AB1"/>
    <w:rsid w:val="002B5B98"/>
    <w:rsid w:val="0031522E"/>
    <w:rsid w:val="00353CFE"/>
    <w:rsid w:val="00356B99"/>
    <w:rsid w:val="00382503"/>
    <w:rsid w:val="003A65C8"/>
    <w:rsid w:val="003B485B"/>
    <w:rsid w:val="004946AB"/>
    <w:rsid w:val="004A5F81"/>
    <w:rsid w:val="004E1758"/>
    <w:rsid w:val="004E7516"/>
    <w:rsid w:val="00521DF8"/>
    <w:rsid w:val="00525242"/>
    <w:rsid w:val="005B260D"/>
    <w:rsid w:val="005C045F"/>
    <w:rsid w:val="006174C4"/>
    <w:rsid w:val="006437C4"/>
    <w:rsid w:val="00650975"/>
    <w:rsid w:val="0066316A"/>
    <w:rsid w:val="006835EF"/>
    <w:rsid w:val="00686C89"/>
    <w:rsid w:val="006E30E9"/>
    <w:rsid w:val="006F30AF"/>
    <w:rsid w:val="007655CA"/>
    <w:rsid w:val="00774EDC"/>
    <w:rsid w:val="007B74BF"/>
    <w:rsid w:val="007C19DE"/>
    <w:rsid w:val="007D7362"/>
    <w:rsid w:val="00846656"/>
    <w:rsid w:val="00913F2D"/>
    <w:rsid w:val="00917FBB"/>
    <w:rsid w:val="00935FF0"/>
    <w:rsid w:val="00945E4B"/>
    <w:rsid w:val="00A0696F"/>
    <w:rsid w:val="00A24D29"/>
    <w:rsid w:val="00A8494F"/>
    <w:rsid w:val="00A931AC"/>
    <w:rsid w:val="00AB3706"/>
    <w:rsid w:val="00AE20F9"/>
    <w:rsid w:val="00B019DD"/>
    <w:rsid w:val="00B212A6"/>
    <w:rsid w:val="00B45F96"/>
    <w:rsid w:val="00B65FFB"/>
    <w:rsid w:val="00B93194"/>
    <w:rsid w:val="00B9414B"/>
    <w:rsid w:val="00BA512D"/>
    <w:rsid w:val="00BF3BB8"/>
    <w:rsid w:val="00C131EA"/>
    <w:rsid w:val="00C15FB9"/>
    <w:rsid w:val="00C34D8D"/>
    <w:rsid w:val="00C42104"/>
    <w:rsid w:val="00CF1CE2"/>
    <w:rsid w:val="00D13C10"/>
    <w:rsid w:val="00D560EC"/>
    <w:rsid w:val="00D83A5B"/>
    <w:rsid w:val="00DB7D75"/>
    <w:rsid w:val="00DE6BD3"/>
    <w:rsid w:val="00DF0BCF"/>
    <w:rsid w:val="00E06EEB"/>
    <w:rsid w:val="00E611B9"/>
    <w:rsid w:val="00E822D2"/>
    <w:rsid w:val="00EC4984"/>
    <w:rsid w:val="00F12B59"/>
    <w:rsid w:val="00F7112B"/>
    <w:rsid w:val="00F92172"/>
    <w:rsid w:val="00FB1C0A"/>
    <w:rsid w:val="00FF7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69F70"/>
  <w15:chartTrackingRefBased/>
  <w15:docId w15:val="{F4511BED-FC73-43BC-A984-5EBBF45AA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548"/>
    <w:rPr>
      <w:rFonts w:eastAsiaTheme="majorEastAsia" w:cstheme="majorBidi"/>
      <w:color w:val="272727" w:themeColor="text1" w:themeTint="D8"/>
    </w:rPr>
  </w:style>
  <w:style w:type="paragraph" w:styleId="Title">
    <w:name w:val="Title"/>
    <w:basedOn w:val="Normal"/>
    <w:next w:val="Normal"/>
    <w:link w:val="TitleChar"/>
    <w:uiPriority w:val="10"/>
    <w:qFormat/>
    <w:rsid w:val="00122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548"/>
    <w:pPr>
      <w:spacing w:before="160"/>
      <w:jc w:val="center"/>
    </w:pPr>
    <w:rPr>
      <w:i/>
      <w:iCs/>
      <w:color w:val="404040" w:themeColor="text1" w:themeTint="BF"/>
    </w:rPr>
  </w:style>
  <w:style w:type="character" w:customStyle="1" w:styleId="QuoteChar">
    <w:name w:val="Quote Char"/>
    <w:basedOn w:val="DefaultParagraphFont"/>
    <w:link w:val="Quote"/>
    <w:uiPriority w:val="29"/>
    <w:rsid w:val="00122548"/>
    <w:rPr>
      <w:i/>
      <w:iCs/>
      <w:color w:val="404040" w:themeColor="text1" w:themeTint="BF"/>
    </w:rPr>
  </w:style>
  <w:style w:type="paragraph" w:styleId="ListParagraph">
    <w:name w:val="List Paragraph"/>
    <w:basedOn w:val="Normal"/>
    <w:uiPriority w:val="34"/>
    <w:qFormat/>
    <w:rsid w:val="00122548"/>
    <w:pPr>
      <w:ind w:left="720"/>
      <w:contextualSpacing/>
    </w:pPr>
  </w:style>
  <w:style w:type="character" w:styleId="IntenseEmphasis">
    <w:name w:val="Intense Emphasis"/>
    <w:basedOn w:val="DefaultParagraphFont"/>
    <w:uiPriority w:val="21"/>
    <w:qFormat/>
    <w:rsid w:val="00122548"/>
    <w:rPr>
      <w:i/>
      <w:iCs/>
      <w:color w:val="0F4761" w:themeColor="accent1" w:themeShade="BF"/>
    </w:rPr>
  </w:style>
  <w:style w:type="paragraph" w:styleId="IntenseQuote">
    <w:name w:val="Intense Quote"/>
    <w:basedOn w:val="Normal"/>
    <w:next w:val="Normal"/>
    <w:link w:val="IntenseQuoteChar"/>
    <w:uiPriority w:val="30"/>
    <w:qFormat/>
    <w:rsid w:val="00122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548"/>
    <w:rPr>
      <w:i/>
      <w:iCs/>
      <w:color w:val="0F4761" w:themeColor="accent1" w:themeShade="BF"/>
    </w:rPr>
  </w:style>
  <w:style w:type="character" w:styleId="IntenseReference">
    <w:name w:val="Intense Reference"/>
    <w:basedOn w:val="DefaultParagraphFont"/>
    <w:uiPriority w:val="32"/>
    <w:qFormat/>
    <w:rsid w:val="00122548"/>
    <w:rPr>
      <w:b/>
      <w:bCs/>
      <w:smallCaps/>
      <w:color w:val="0F4761" w:themeColor="accent1" w:themeShade="BF"/>
      <w:spacing w:val="5"/>
    </w:rPr>
  </w:style>
  <w:style w:type="paragraph" w:styleId="NormalWeb">
    <w:name w:val="Normal (Web)"/>
    <w:basedOn w:val="Normal"/>
    <w:uiPriority w:val="99"/>
    <w:semiHidden/>
    <w:unhideWhenUsed/>
    <w:rsid w:val="00AE20F9"/>
    <w:rPr>
      <w:rFonts w:ascii="Times New Roman" w:hAnsi="Times New Roman" w:cs="Times New Roman"/>
    </w:rPr>
  </w:style>
  <w:style w:type="paragraph" w:styleId="Header">
    <w:name w:val="header"/>
    <w:basedOn w:val="Normal"/>
    <w:link w:val="HeaderChar"/>
    <w:uiPriority w:val="99"/>
    <w:unhideWhenUsed/>
    <w:rsid w:val="00F921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2172"/>
  </w:style>
  <w:style w:type="paragraph" w:styleId="Footer">
    <w:name w:val="footer"/>
    <w:basedOn w:val="Normal"/>
    <w:link w:val="FooterChar"/>
    <w:uiPriority w:val="99"/>
    <w:unhideWhenUsed/>
    <w:rsid w:val="00F921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21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9A79401FCA20B48BC2D5BC3B4486ECB" ma:contentTypeVersion="10" ma:contentTypeDescription="Create a new document." ma:contentTypeScope="" ma:versionID="70af42405b8a534e5b54171e7be91a3d">
  <xsd:schema xmlns:xsd="http://www.w3.org/2001/XMLSchema" xmlns:xs="http://www.w3.org/2001/XMLSchema" xmlns:p="http://schemas.microsoft.com/office/2006/metadata/properties" xmlns:ns3="919c896f-2556-40fa-a2e5-a327a5cfdc9b" targetNamespace="http://schemas.microsoft.com/office/2006/metadata/properties" ma:root="true" ma:fieldsID="4271f00df38a4456bc8ee7a19ba00849" ns3:_="">
    <xsd:import namespace="919c896f-2556-40fa-a2e5-a327a5cfdc9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9c896f-2556-40fa-a2e5-a327a5cfdc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6D3DD5-5BB6-44E0-B634-0CA747C695F3}">
  <ds:schemaRefs>
    <ds:schemaRef ds:uri="http://schemas.openxmlformats.org/officeDocument/2006/bibliography"/>
  </ds:schemaRefs>
</ds:datastoreItem>
</file>

<file path=customXml/itemProps2.xml><?xml version="1.0" encoding="utf-8"?>
<ds:datastoreItem xmlns:ds="http://schemas.openxmlformats.org/officeDocument/2006/customXml" ds:itemID="{59392C20-DE12-4B8A-B1B1-BC4E0A96A4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9c896f-2556-40fa-a2e5-a327a5cfdc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1A9490-CDDD-44CC-B042-3560735403CA}">
  <ds:schemaRefs>
    <ds:schemaRef ds:uri="http://schemas.microsoft.com/sharepoint/v3/contenttype/forms"/>
  </ds:schemaRefs>
</ds:datastoreItem>
</file>

<file path=customXml/itemProps4.xml><?xml version="1.0" encoding="utf-8"?>
<ds:datastoreItem xmlns:ds="http://schemas.openxmlformats.org/officeDocument/2006/customXml" ds:itemID="{DE667BEA-8480-46C5-AE16-7FDBEAF6475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8</Pages>
  <Words>2745</Words>
  <Characters>15653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 Emmanuel Paddy</dc:creator>
  <cp:keywords/>
  <dc:description/>
  <cp:lastModifiedBy>Adams Emmanuel Paddy</cp:lastModifiedBy>
  <cp:revision>3</cp:revision>
  <dcterms:created xsi:type="dcterms:W3CDTF">2026-06-30T09:11:00Z</dcterms:created>
  <dcterms:modified xsi:type="dcterms:W3CDTF">2026-06-30T15:01:00Z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db45a2f2-db53-498b-bc8a-1a363da63c00</vt:lpwstr>
  </property>
  <property fmtid="{D5CDD505-2E9C-101B-9397-08002B2CF9AE}" pid="3" name="ContentTypeId">
    <vt:lpwstr>0x01010069A79401FCA20B48BC2D5BC3B4486ECB</vt:lpwstr>
  </property>
</Properties>
</file>